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F229E" w:rsidRPr="00561F52" w:rsidRDefault="00B376C1" w:rsidP="009064AD">
      <w:pPr>
        <w:pStyle w:val="Flietext"/>
        <w:rPr>
          <w:lang w:val="de-DE"/>
        </w:rPr>
        <w:sectPr w:rsidR="00DF229E" w:rsidRPr="00561F52" w:rsidSect="00FB14DA">
          <w:headerReference w:type="default" r:id="rId8"/>
          <w:footerReference w:type="default" r:id="rId9"/>
          <w:headerReference w:type="first" r:id="rId10"/>
          <w:type w:val="continuous"/>
          <w:pgSz w:w="11900" w:h="16840"/>
          <w:pgMar w:top="8789" w:right="1361" w:bottom="1361" w:left="907" w:header="9071" w:footer="680" w:gutter="0"/>
          <w:cols w:space="708"/>
          <w:titlePg/>
          <w:docGrid w:linePitch="286"/>
        </w:sectPr>
      </w:pPr>
      <w:bookmarkStart w:id="0" w:name="_GoBack"/>
      <w:bookmarkEnd w:id="0"/>
      <w:r>
        <w:rPr>
          <w:noProof/>
          <w:lang w:eastAsia="de-AT"/>
        </w:rPr>
        <w:drawing>
          <wp:anchor distT="0" distB="0" distL="114300" distR="114300" simplePos="0" relativeHeight="251984384" behindDoc="1" locked="0" layoutInCell="1" allowOverlap="1" wp14:anchorId="51C111DB" wp14:editId="76D6E6EE">
            <wp:simplePos x="0" y="0"/>
            <wp:positionH relativeFrom="column">
              <wp:posOffset>1660525</wp:posOffset>
            </wp:positionH>
            <wp:positionV relativeFrom="paragraph">
              <wp:posOffset>3210560</wp:posOffset>
            </wp:positionV>
            <wp:extent cx="1212850" cy="718820"/>
            <wp:effectExtent l="0" t="0" r="6350" b="5080"/>
            <wp:wrapTight wrapText="bothSides">
              <wp:wrapPolygon edited="0">
                <wp:start x="14928" y="0"/>
                <wp:lineTo x="1018" y="8587"/>
                <wp:lineTo x="0" y="14311"/>
                <wp:lineTo x="0" y="15456"/>
                <wp:lineTo x="15606" y="18318"/>
                <wp:lineTo x="15606" y="19463"/>
                <wp:lineTo x="16624" y="21180"/>
                <wp:lineTo x="17303" y="21180"/>
                <wp:lineTo x="18999" y="21180"/>
                <wp:lineTo x="21374" y="21180"/>
                <wp:lineTo x="21374" y="19463"/>
                <wp:lineTo x="20017" y="18318"/>
                <wp:lineTo x="19338" y="9159"/>
                <wp:lineTo x="21374" y="2290"/>
                <wp:lineTo x="21035" y="1145"/>
                <wp:lineTo x="16624" y="0"/>
                <wp:lineTo x="14928" y="0"/>
              </wp:wrapPolygon>
            </wp:wrapTight>
            <wp:docPr id="4" name="Logo" descr="Unternehmenslogo der Österreichische Agentur für Gesundheit und Ernährungssicherheit GmbH" title="Unternehmenslogo 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go" descr="Unternehmenslogo der Österreichische Agentur für Gesundheit und Ernährungssicherheit GmbH" title="Unternehmenslogo AGES"/>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12850" cy="718820"/>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noProof/>
          <w:lang w:eastAsia="de-AT"/>
        </w:rPr>
        <w:drawing>
          <wp:anchor distT="0" distB="0" distL="114300" distR="114300" simplePos="0" relativeHeight="252064256" behindDoc="1" locked="0" layoutInCell="1" allowOverlap="1" wp14:anchorId="0E55CBE0" wp14:editId="3B199540">
            <wp:simplePos x="0" y="0"/>
            <wp:positionH relativeFrom="column">
              <wp:posOffset>3011170</wp:posOffset>
            </wp:positionH>
            <wp:positionV relativeFrom="paragraph">
              <wp:posOffset>3591560</wp:posOffset>
            </wp:positionV>
            <wp:extent cx="1300480" cy="333375"/>
            <wp:effectExtent l="0" t="0" r="0" b="9525"/>
            <wp:wrapTight wrapText="bothSides">
              <wp:wrapPolygon edited="0">
                <wp:start x="0" y="0"/>
                <wp:lineTo x="0" y="20983"/>
                <wp:lineTo x="21199" y="20983"/>
                <wp:lineTo x="21199" y="0"/>
                <wp:lineTo x="0" y="0"/>
              </wp:wrapPolygon>
            </wp:wrapTight>
            <wp:docPr id="1" name="Grafik 1" descr="C:\Users\kathar23\AppData\Local\Temp\notes21AC10\biohelp-Logo.jpg" title="Logo Bio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thar23\AppData\Local\Temp\notes21AC10\biohelp-Logo.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00480" cy="333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AT"/>
        </w:rPr>
        <w:drawing>
          <wp:anchor distT="0" distB="0" distL="114300" distR="114300" simplePos="0" relativeHeight="252070400" behindDoc="1" locked="0" layoutInCell="1" allowOverlap="1" wp14:anchorId="1A5E079C" wp14:editId="2456B9F9">
            <wp:simplePos x="0" y="0"/>
            <wp:positionH relativeFrom="column">
              <wp:posOffset>4358005</wp:posOffset>
            </wp:positionH>
            <wp:positionV relativeFrom="paragraph">
              <wp:posOffset>3020060</wp:posOffset>
            </wp:positionV>
            <wp:extent cx="1219200" cy="908685"/>
            <wp:effectExtent l="0" t="0" r="0" b="5715"/>
            <wp:wrapTight wrapText="bothSides">
              <wp:wrapPolygon edited="0">
                <wp:start x="6075" y="0"/>
                <wp:lineTo x="0" y="2264"/>
                <wp:lineTo x="0" y="21283"/>
                <wp:lineTo x="21263" y="21283"/>
                <wp:lineTo x="21263" y="3170"/>
                <wp:lineTo x="19913" y="2264"/>
                <wp:lineTo x="11475" y="0"/>
                <wp:lineTo x="6075" y="0"/>
              </wp:wrapPolygon>
            </wp:wrapTight>
            <wp:docPr id="9319" name="Grafik 9319" title="Logo TU G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19200" cy="9086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AT"/>
        </w:rPr>
        <w:drawing>
          <wp:anchor distT="0" distB="0" distL="114300" distR="114300" simplePos="0" relativeHeight="251985408" behindDoc="1" locked="0" layoutInCell="1" allowOverlap="1" wp14:anchorId="01FFE74A" wp14:editId="2E3D6654">
            <wp:simplePos x="0" y="0"/>
            <wp:positionH relativeFrom="column">
              <wp:posOffset>5707380</wp:posOffset>
            </wp:positionH>
            <wp:positionV relativeFrom="paragraph">
              <wp:posOffset>2734310</wp:posOffset>
            </wp:positionV>
            <wp:extent cx="590550" cy="1196340"/>
            <wp:effectExtent l="0" t="0" r="0" b="3810"/>
            <wp:wrapTight wrapText="bothSides">
              <wp:wrapPolygon edited="0">
                <wp:start x="0" y="0"/>
                <wp:lineTo x="0" y="21325"/>
                <wp:lineTo x="20903" y="21325"/>
                <wp:lineTo x="20903" y="0"/>
                <wp:lineTo x="0" y="0"/>
              </wp:wrapPolygon>
            </wp:wrapTight>
            <wp:docPr id="22" name="Grafik 22" title="Logo Uni Innsb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590550" cy="1196340"/>
                    </a:xfrm>
                    <a:prstGeom prst="rect">
                      <a:avLst/>
                    </a:prstGeom>
                  </pic:spPr>
                </pic:pic>
              </a:graphicData>
            </a:graphic>
            <wp14:sizeRelH relativeFrom="page">
              <wp14:pctWidth>0</wp14:pctWidth>
            </wp14:sizeRelH>
            <wp14:sizeRelV relativeFrom="page">
              <wp14:pctHeight>0</wp14:pctHeight>
            </wp14:sizeRelV>
          </wp:anchor>
        </w:drawing>
      </w:r>
      <w:r w:rsidR="001D5127" w:rsidRPr="006348F8">
        <w:rPr>
          <w:noProof/>
          <w:lang w:eastAsia="de-AT"/>
        </w:rPr>
        <w:drawing>
          <wp:anchor distT="0" distB="0" distL="114300" distR="114300" simplePos="0" relativeHeight="251274752" behindDoc="0" locked="0" layoutInCell="1" allowOverlap="1" wp14:anchorId="2D6639A4" wp14:editId="45BE01C0">
            <wp:simplePos x="0" y="0"/>
            <wp:positionH relativeFrom="page">
              <wp:posOffset>645160</wp:posOffset>
            </wp:positionH>
            <wp:positionV relativeFrom="page">
              <wp:posOffset>9522460</wp:posOffset>
            </wp:positionV>
            <wp:extent cx="1478915" cy="286385"/>
            <wp:effectExtent l="0" t="0" r="6985" b="0"/>
            <wp:wrapNone/>
            <wp:docPr id="32" name="Bild 32" title="Logo BM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nerlogo_Platzhalter.eps"/>
                    <pic:cNvPicPr/>
                  </pic:nvPicPr>
                  <pic:blipFill>
                    <a:blip r:embed="rId15">
                      <a:extLst>
                        <a:ext uri="{28A0092B-C50C-407E-A947-70E740481C1C}">
                          <a14:useLocalDpi xmlns:a14="http://schemas.microsoft.com/office/drawing/2010/main" val="0"/>
                        </a:ext>
                      </a:extLst>
                    </a:blip>
                    <a:stretch>
                      <a:fillRect/>
                    </a:stretch>
                  </pic:blipFill>
                  <pic:spPr>
                    <a:xfrm>
                      <a:off x="0" y="0"/>
                      <a:ext cx="1478915" cy="286385"/>
                    </a:xfrm>
                    <a:prstGeom prst="rect">
                      <a:avLst/>
                    </a:prstGeom>
                  </pic:spPr>
                </pic:pic>
              </a:graphicData>
            </a:graphic>
            <wp14:sizeRelH relativeFrom="margin">
              <wp14:pctWidth>0</wp14:pctWidth>
            </wp14:sizeRelH>
            <wp14:sizeRelV relativeFrom="margin">
              <wp14:pctHeight>0</wp14:pctHeight>
            </wp14:sizeRelV>
          </wp:anchor>
        </w:drawing>
      </w:r>
      <w:r w:rsidR="00CC3E11" w:rsidRPr="006348F8">
        <w:rPr>
          <w:rStyle w:val="berschrift4Zchn"/>
          <w:noProof/>
          <w:lang w:eastAsia="de-AT"/>
        </w:rPr>
        <mc:AlternateContent>
          <mc:Choice Requires="wps">
            <w:drawing>
              <wp:anchor distT="0" distB="0" distL="114300" distR="114300" simplePos="0" relativeHeight="251983360" behindDoc="1" locked="0" layoutInCell="1" allowOverlap="1" wp14:anchorId="513872DB" wp14:editId="7D9B285A">
                <wp:simplePos x="0" y="0"/>
                <wp:positionH relativeFrom="column">
                  <wp:posOffset>1905</wp:posOffset>
                </wp:positionH>
                <wp:positionV relativeFrom="paragraph">
                  <wp:posOffset>655320</wp:posOffset>
                </wp:positionV>
                <wp:extent cx="6407785" cy="3275330"/>
                <wp:effectExtent l="0" t="0" r="12065" b="1270"/>
                <wp:wrapThrough wrapText="bothSides">
                  <wp:wrapPolygon edited="0">
                    <wp:start x="0" y="0"/>
                    <wp:lineTo x="0" y="21483"/>
                    <wp:lineTo x="21576" y="21483"/>
                    <wp:lineTo x="21576" y="0"/>
                    <wp:lineTo x="0" y="0"/>
                  </wp:wrapPolygon>
                </wp:wrapThrough>
                <wp:docPr id="31" name="Textfeld 31"/>
                <wp:cNvGraphicFramePr/>
                <a:graphic xmlns:a="http://schemas.openxmlformats.org/drawingml/2006/main">
                  <a:graphicData uri="http://schemas.microsoft.com/office/word/2010/wordprocessingShape">
                    <wps:wsp>
                      <wps:cNvSpPr txBox="1"/>
                      <wps:spPr>
                        <a:xfrm>
                          <a:off x="0" y="0"/>
                          <a:ext cx="6407785" cy="32753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B07C29" w:rsidRDefault="00B07C29" w:rsidP="002A2DB9">
                            <w:pPr>
                              <w:pStyle w:val="Titelblau24pt"/>
                            </w:pPr>
                            <w:r w:rsidRPr="006852ED">
                              <w:t>Alternative biologische Methoden zum Schutz des Maises vor dem Maiswurzelbohrer (Diabrotica virgifera)</w:t>
                            </w:r>
                            <w:r>
                              <w:t xml:space="preserve"> - DiaconT</w:t>
                            </w:r>
                          </w:p>
                          <w:p w:rsidR="00B07C29" w:rsidRDefault="00B07C29" w:rsidP="002A2DB9">
                            <w:pPr>
                              <w:pStyle w:val="Titelblau24pt"/>
                            </w:pPr>
                          </w:p>
                          <w:p w:rsidR="00B07C29" w:rsidRPr="002A2DB9" w:rsidRDefault="00B07C29" w:rsidP="002A2DB9">
                            <w:pPr>
                              <w:pStyle w:val="Titelblau24pt"/>
                            </w:pPr>
                          </w:p>
                          <w:p w:rsidR="00B07C29" w:rsidRPr="002A2DB9" w:rsidRDefault="00B07C29" w:rsidP="00B147AA">
                            <w:pPr>
                              <w:pStyle w:val="Titelschwarz24pt"/>
                            </w:pPr>
                            <w:r w:rsidRPr="00B147AA">
                              <w:t>E</w:t>
                            </w:r>
                            <w:r>
                              <w:t>ndbericht zum Forschungsprojekt Nummer</w:t>
                            </w:r>
                            <w:r w:rsidRPr="006852ED">
                              <w:t>. 101111</w:t>
                            </w:r>
                            <w:r w:rsidR="00B51162" w:rsidRPr="00B51162">
                              <w:rPr>
                                <w:noProof/>
                                <w:lang w:val="de-DE" w:eastAsia="de-D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13872DB" id="_x0000_t202" coordsize="21600,21600" o:spt="202" path="m,l,21600r21600,l21600,xe">
                <v:stroke joinstyle="miter"/>
                <v:path gradientshapeok="t" o:connecttype="rect"/>
              </v:shapetype>
              <v:shape id="Textfeld 31" o:spid="_x0000_s1026" type="#_x0000_t202" style="position:absolute;margin-left:.15pt;margin-top:51.6pt;width:504.55pt;height:257.9pt;z-index:-2513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" filled="f" stroked="f">
                <v:textbox inset="0,0,0,0">
                  <w:txbxContent>
                    <w:p w:rsidR="00B07C29" w:rsidRDefault="00B07C29" w:rsidP="002A2DB9">
                      <w:pPr>
                        <w:pStyle w:val="Titelblau24pt"/>
                      </w:pPr>
                      <w:r w:rsidRPr="006852ED">
                        <w:t>Alternative biologische Methoden zum Schutz des Maises vor dem Maiswurzelbohrer (Diabrotica virgifera)</w:t>
                      </w:r>
                      <w:r>
                        <w:t xml:space="preserve"> - DiaconT</w:t>
                      </w:r>
                    </w:p>
                    <w:p w:rsidR="00B07C29" w:rsidRDefault="00B07C29" w:rsidP="002A2DB9">
                      <w:pPr>
                        <w:pStyle w:val="Titelblau24pt"/>
                      </w:pPr>
                    </w:p>
                    <w:p w:rsidR="00B07C29" w:rsidRPr="002A2DB9" w:rsidRDefault="00B07C29" w:rsidP="002A2DB9">
                      <w:pPr>
                        <w:pStyle w:val="Titelblau24pt"/>
                      </w:pPr>
                    </w:p>
                    <w:p w:rsidR="00B07C29" w:rsidRPr="002A2DB9" w:rsidRDefault="00B07C29" w:rsidP="00B147AA">
                      <w:pPr>
                        <w:pStyle w:val="Titelschwarz24pt"/>
                      </w:pPr>
                      <w:r w:rsidRPr="00B147AA">
                        <w:t>E</w:t>
                      </w:r>
                      <w:r>
                        <w:t>ndbericht zum Forschungsprojekt Nummer</w:t>
                      </w:r>
                      <w:r w:rsidRPr="006852ED">
                        <w:t>. 101111</w:t>
                      </w:r>
                      <w:r w:rsidR="00B51162" w:rsidRPr="00B51162">
                        <w:rPr>
                          <w:noProof/>
                          <w:lang w:val="de-DE" w:eastAsia="de-DE"/>
                        </w:rPr>
                        <w:t xml:space="preserve"> </w:t>
                      </w:r>
                    </w:p>
                  </w:txbxContent>
                </v:textbox>
                <w10:wrap type="through"/>
              </v:shape>
            </w:pict>
          </mc:Fallback>
        </mc:AlternateContent>
      </w:r>
      <w:r w:rsidR="006E3C45">
        <w:rPr>
          <w:noProof/>
          <w:lang w:eastAsia="de-AT"/>
        </w:rPr>
        <mc:AlternateContent>
          <mc:Choice Requires="wpg">
            <w:drawing>
              <wp:anchor distT="0" distB="0" distL="114300" distR="114300" simplePos="0" relativeHeight="251980288" behindDoc="1" locked="0" layoutInCell="1" allowOverlap="1" wp14:anchorId="4467FB02" wp14:editId="64154E5F">
                <wp:simplePos x="0" y="0"/>
                <wp:positionH relativeFrom="page">
                  <wp:posOffset>0</wp:posOffset>
                </wp:positionH>
                <wp:positionV relativeFrom="page">
                  <wp:posOffset>0</wp:posOffset>
                </wp:positionV>
                <wp:extent cx="7560000" cy="10706400"/>
                <wp:effectExtent l="0" t="0" r="3175" b="0"/>
                <wp:wrapNone/>
                <wp:docPr id="21" name="Gruppieren 21" descr="Leeres Platzhalterbild"/>
                <wp:cNvGraphicFramePr/>
                <a:graphic xmlns:a="http://schemas.openxmlformats.org/drawingml/2006/main">
                  <a:graphicData uri="http://schemas.microsoft.com/office/word/2010/wordprocessingGroup">
                    <wpg:wgp>
                      <wpg:cNvGrpSpPr/>
                      <wpg:grpSpPr>
                        <a:xfrm>
                          <a:off x="0" y="0"/>
                          <a:ext cx="7560000" cy="10706400"/>
                          <a:chOff x="0" y="0"/>
                          <a:chExt cx="7559675" cy="10705143"/>
                        </a:xfrm>
                      </wpg:grpSpPr>
                      <pic:pic xmlns:pic="http://schemas.openxmlformats.org/drawingml/2006/picture">
                        <pic:nvPicPr>
                          <pic:cNvPr id="15" name="Bild 15" descr="leeres Platzhalterbild"/>
                          <pic:cNvPicPr>
                            <a:picLocks/>
                          </pic:cNvPicPr>
                        </pic:nvPicPr>
                        <pic:blipFill>
                          <a:blip r:embed="rId16" cstate="email">
                            <a:biLevel thresh="25000"/>
                            <a:extLst>
                              <a:ext uri="{28A0092B-C50C-407E-A947-70E740481C1C}">
                                <a14:useLocalDpi xmlns:a14="http://schemas.microsoft.com/office/drawing/2010/main"/>
                              </a:ext>
                            </a:extLst>
                          </a:blip>
                          <a:stretch>
                            <a:fillRect/>
                          </a:stretch>
                        </pic:blipFill>
                        <pic:spPr>
                          <a:xfrm>
                            <a:off x="0" y="5336275"/>
                            <a:ext cx="7546975" cy="5366385"/>
                          </a:xfrm>
                          <a:prstGeom prst="rect">
                            <a:avLst/>
                          </a:prstGeom>
                          <a:solidFill>
                            <a:schemeClr val="bg1"/>
                          </a:solidFill>
                        </pic:spPr>
                      </pic:pic>
                      <pic:pic xmlns:pic="http://schemas.openxmlformats.org/drawingml/2006/picture">
                        <pic:nvPicPr>
                          <pic:cNvPr id="7" name="Bild 18" descr="leeres Platzhalterbild"/>
                          <pic:cNvPicPr>
                            <a:picLocks/>
                          </pic:cNvPicPr>
                        </pic:nvPicPr>
                        <pic:blipFill>
                          <a:blip r:embed="rId17" cstate="email">
                            <a:biLevel thresh="25000"/>
                            <a:extLst>
                              <a:ext uri="{28A0092B-C50C-407E-A947-70E740481C1C}">
                                <a14:useLocalDpi xmlns:a14="http://schemas.microsoft.com/office/drawing/2010/main"/>
                              </a:ext>
                            </a:extLst>
                          </a:blip>
                          <a:stretch>
                            <a:fillRect/>
                          </a:stretch>
                        </pic:blipFill>
                        <pic:spPr>
                          <a:xfrm>
                            <a:off x="0" y="6824"/>
                            <a:ext cx="7559675" cy="287655"/>
                          </a:xfrm>
                          <a:prstGeom prst="rect">
                            <a:avLst/>
                          </a:prstGeom>
                          <a:solidFill>
                            <a:srgbClr val="FFFFFE"/>
                          </a:solidFill>
                        </pic:spPr>
                      </pic:pic>
                      <pic:pic xmlns:pic="http://schemas.openxmlformats.org/drawingml/2006/picture">
                        <pic:nvPicPr>
                          <pic:cNvPr id="19" name="Bild 19" descr="leeres Platzhalterbild"/>
                          <pic:cNvPicPr>
                            <a:picLocks/>
                          </pic:cNvPicPr>
                        </pic:nvPicPr>
                        <pic:blipFill>
                          <a:blip r:embed="rId18">
                            <a:biLevel thresh="25000"/>
                            <a:extLst>
                              <a:ext uri="{28A0092B-C50C-407E-A947-70E740481C1C}">
                                <a14:useLocalDpi xmlns:a14="http://schemas.microsoft.com/office/drawing/2010/main"/>
                              </a:ext>
                            </a:extLst>
                          </a:blip>
                          <a:stretch>
                            <a:fillRect/>
                          </a:stretch>
                        </pic:blipFill>
                        <pic:spPr>
                          <a:xfrm>
                            <a:off x="0" y="0"/>
                            <a:ext cx="287655" cy="10691495"/>
                          </a:xfrm>
                          <a:prstGeom prst="rect">
                            <a:avLst/>
                          </a:prstGeom>
                          <a:solidFill>
                            <a:schemeClr val="bg1"/>
                          </a:solidFill>
                        </pic:spPr>
                      </pic:pic>
                      <pic:pic xmlns:pic="http://schemas.openxmlformats.org/drawingml/2006/picture">
                        <pic:nvPicPr>
                          <pic:cNvPr id="20" name="Bild 19" descr="leeres Platzhalterbild"/>
                          <pic:cNvPicPr>
                            <a:picLocks/>
                          </pic:cNvPicPr>
                        </pic:nvPicPr>
                        <pic:blipFill>
                          <a:blip r:embed="rId18">
                            <a:biLevel thresh="25000"/>
                            <a:extLst>
                              <a:ext uri="{28A0092B-C50C-407E-A947-70E740481C1C}">
                                <a14:useLocalDpi xmlns:a14="http://schemas.microsoft.com/office/drawing/2010/main"/>
                              </a:ext>
                            </a:extLst>
                          </a:blip>
                          <a:stretch>
                            <a:fillRect/>
                          </a:stretch>
                        </pic:blipFill>
                        <pic:spPr>
                          <a:xfrm>
                            <a:off x="7260609" y="13648"/>
                            <a:ext cx="287655" cy="10691495"/>
                          </a:xfrm>
                          <a:prstGeom prst="rect">
                            <a:avLst/>
                          </a:prstGeom>
                          <a:solidFill>
                            <a:schemeClr val="bg1"/>
                          </a:solidFill>
                        </pic:spPr>
                      </pic:pic>
                    </wpg:wgp>
                  </a:graphicData>
                </a:graphic>
                <wp14:sizeRelH relativeFrom="margin">
                  <wp14:pctWidth>0</wp14:pctWidth>
                </wp14:sizeRelH>
                <wp14:sizeRelV relativeFrom="margin">
                  <wp14:pctHeight>0</wp14:pctHeight>
                </wp14:sizeRelV>
              </wp:anchor>
            </w:drawing>
          </mc:Choice>
          <mc:Fallback>
            <w:pict>
              <v:group w14:anchorId="0A0DA05D" id="Gruppieren 21" o:spid="_x0000_s1026" alt="Leeres Platzhalterbild" style="position:absolute;margin-left:0;margin-top:0;width:595.3pt;height:843pt;z-index:-251336192;mso-position-horizontal-relative:page;mso-position-vertical-relative:page;mso-width-relative:margin;mso-height-relative:margin" coordsize="75596,107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qy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q6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15" o:spid="_x0000_s1027" type="#_x0000_t75" alt="leeres Platzhalterbild" style="position:absolute;top:53362;width:75469;height:53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" filled="t" fillcolor="white [3212]">
                  <v:imagedata r:id="rId19" o:title="leeres Platzhalterbild" grayscale="t" bilevel="t"/>
                  <v:path arrowok="t"/>
                  <o:lock v:ext="edit" aspectratio="f"/>
                </v:shape>
                <v:shape id="Bild 18" o:spid="_x0000_s1028" type="#_x0000_t75" alt="leeres Platzhalterbild" style="position:absolute;top:68;width:75596;height:2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" filled="t" fillcolor="#fffffe">
                  <v:imagedata r:id="rId20" o:title="leeres Platzhalterbild" grayscale="t" bilevel="t"/>
                  <v:path arrowok="t"/>
                  <o:lock v:ext="edit" aspectratio="f"/>
                </v:shape>
                <v:shape id="Bild 19" o:spid="_x0000_s1029" type="#_x0000_t75" alt="leeres Platzhalterbild" style="position:absolute;width:2876;height:106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" filled="t" fillcolor="white [3212]">
                  <v:imagedata r:id="rId21" o:title="leeres Platzhalterbild" grayscale="t" bilevel="t"/>
                  <v:path arrowok="t"/>
                  <o:lock v:ext="edit" aspectratio="f"/>
                </v:shape>
                <v:shape id="Bild 19" o:spid="_x0000_s1030" type="#_x0000_t75" alt="leeres Platzhalterbild" style="position:absolute;left:72606;top:136;width:2876;height:10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" filled="t" fillcolor="white [3212]">
                  <v:imagedata r:id="rId21" o:title="leeres Platzhalterbild" grayscale="t" bilevel="t"/>
                  <v:path arrowok="t"/>
                  <o:lock v:ext="edit" aspectratio="f"/>
                </v:shape>
                <w10:wrap anchorx="page" anchory="page"/>
              </v:group>
            </w:pict>
          </mc:Fallback>
        </mc:AlternateContent>
      </w:r>
    </w:p>
    <w:p w:rsidR="005B4A0A" w:rsidRDefault="005B4A0A" w:rsidP="00560C49">
      <w:pPr>
        <w:pStyle w:val="Impressumallg"/>
        <w:sectPr w:rsidR="005B4A0A" w:rsidSect="00682DB6">
          <w:headerReference w:type="first" r:id="rId22"/>
          <w:footerReference w:type="first" r:id="rId23"/>
          <w:pgSz w:w="11900" w:h="16840"/>
          <w:pgMar w:top="8505" w:right="1361" w:bottom="284" w:left="1361" w:header="680" w:footer="680" w:gutter="0"/>
          <w:cols w:space="708"/>
          <w:titlePg/>
        </w:sectPr>
      </w:pPr>
    </w:p>
    <w:p w:rsidR="00614573" w:rsidRDefault="00614573" w:rsidP="00614573">
      <w:pPr>
        <w:pStyle w:val="ImpressumberschriftEbene1"/>
      </w:pPr>
      <w:bookmarkStart w:id="1" w:name="_Toc446416153"/>
      <w:bookmarkStart w:id="2" w:name="_Toc7715546"/>
      <w:r>
        <w:t>IMPRESSUM</w:t>
      </w:r>
      <w:bookmarkEnd w:id="1"/>
      <w:bookmarkEnd w:id="2"/>
    </w:p>
    <w:p w:rsidR="00BC38FF" w:rsidRDefault="00BC38FF" w:rsidP="00BC38FF">
      <w:pPr>
        <w:pStyle w:val="Impressumallg"/>
      </w:pPr>
    </w:p>
    <w:p w:rsidR="00BC38FF" w:rsidRPr="001F3F8E" w:rsidRDefault="00BC38FF" w:rsidP="00BC38FF">
      <w:pPr>
        <w:pStyle w:val="Impressumallg"/>
        <w:rPr>
          <w:b/>
        </w:rPr>
      </w:pPr>
      <w:r w:rsidRPr="001F3F8E">
        <w:rPr>
          <w:b/>
        </w:rPr>
        <w:t xml:space="preserve">Projektnehmer: </w:t>
      </w:r>
    </w:p>
    <w:p w:rsidR="00BC38FF" w:rsidRDefault="00BC38FF" w:rsidP="001F3F8E">
      <w:pPr>
        <w:pStyle w:val="Impressumallg"/>
      </w:pPr>
      <w:r>
        <w:t>Österreichische Agentur für Gesundheit und E</w:t>
      </w:r>
      <w:r w:rsidR="001F3F8E">
        <w:t xml:space="preserve">rnährungssicherheit (AGES GmbH), </w:t>
      </w:r>
      <w:r>
        <w:t>Institut für Nachhaltige Pflanzenproduktion/ Abteilung Pflanzenge</w:t>
      </w:r>
      <w:r w:rsidR="001F3F8E">
        <w:t xml:space="preserve">sundheit im Feld und Gartenbau; </w:t>
      </w:r>
      <w:r>
        <w:t>Adresse: Spa</w:t>
      </w:r>
      <w:r w:rsidR="00F3718B">
        <w:t>rgelfeldstraße 191, A-1220 Wien</w:t>
      </w:r>
    </w:p>
    <w:p w:rsidR="001F3F8E" w:rsidRDefault="00BC38FF" w:rsidP="001F3F8E">
      <w:pPr>
        <w:pStyle w:val="Impressumallg"/>
      </w:pPr>
      <w:r w:rsidRPr="001F3F8E">
        <w:rPr>
          <w:b/>
        </w:rPr>
        <w:t>Projektleiter</w:t>
      </w:r>
      <w:r w:rsidR="00346F86" w:rsidRPr="001F3F8E">
        <w:rPr>
          <w:b/>
        </w:rPr>
        <w:t>I</w:t>
      </w:r>
      <w:r w:rsidRPr="001F3F8E">
        <w:rPr>
          <w:b/>
        </w:rPr>
        <w:t>n:</w:t>
      </w:r>
      <w:r>
        <w:t xml:space="preserve"> </w:t>
      </w:r>
    </w:p>
    <w:p w:rsidR="00346F86" w:rsidRDefault="00BC38FF" w:rsidP="001F3F8E">
      <w:pPr>
        <w:pStyle w:val="Impressumallg"/>
      </w:pPr>
      <w:r>
        <w:t>Mag. Katharina Wechselberger</w:t>
      </w:r>
      <w:r w:rsidR="003A4783">
        <w:t xml:space="preserve">; </w:t>
      </w:r>
      <w:r>
        <w:t>Tel. : +43 (0) 505 55-33327</w:t>
      </w:r>
      <w:r w:rsidR="003A4783">
        <w:t xml:space="preserve">; </w:t>
      </w:r>
      <w:r>
        <w:t xml:space="preserve">E-Mail: </w:t>
      </w:r>
      <w:r w:rsidR="001F3F8E" w:rsidRPr="001F3F8E">
        <w:t>katharina.wechselberger@ages.at</w:t>
      </w:r>
      <w:r w:rsidR="001F3F8E">
        <w:t xml:space="preserve">; </w:t>
      </w:r>
      <w:r w:rsidR="00346F86">
        <w:t>Dr. Andreas Kahrer (seit 2017 im Ruhestand)</w:t>
      </w:r>
    </w:p>
    <w:p w:rsidR="001F3F8E" w:rsidRDefault="00BC38FF" w:rsidP="001F3F8E">
      <w:pPr>
        <w:pStyle w:val="Impressumallg"/>
      </w:pPr>
      <w:r w:rsidRPr="001F3F8E">
        <w:rPr>
          <w:b/>
        </w:rPr>
        <w:t>Projektmitarbeiter:</w:t>
      </w:r>
      <w:r>
        <w:t xml:space="preserve"> </w:t>
      </w:r>
    </w:p>
    <w:p w:rsidR="001F3F8E" w:rsidRPr="00B01F03" w:rsidRDefault="00BC38FF" w:rsidP="001F3F8E">
      <w:pPr>
        <w:pStyle w:val="Impressumallg"/>
      </w:pPr>
      <w:r>
        <w:t xml:space="preserve">Dipl. Ing. </w:t>
      </w:r>
      <w:r w:rsidRPr="00B01F03">
        <w:t>Anna Moyses</w:t>
      </w:r>
      <w:r w:rsidR="003A4783" w:rsidRPr="00B01F03">
        <w:t xml:space="preserve">; </w:t>
      </w:r>
      <w:r w:rsidRPr="00B01F03">
        <w:t>Tel.: +43 (0) 505 55-33322</w:t>
      </w:r>
      <w:r w:rsidR="00B01F03" w:rsidRPr="00B01F03">
        <w:t xml:space="preserve">; </w:t>
      </w:r>
      <w:r w:rsidRPr="00B01F03">
        <w:t xml:space="preserve">E-Mail: </w:t>
      </w:r>
      <w:r w:rsidR="001F3F8E" w:rsidRPr="001F3F8E">
        <w:t>anna.moyses@ages.at</w:t>
      </w:r>
      <w:r w:rsidR="001F3F8E">
        <w:t xml:space="preserve">; </w:t>
      </w:r>
      <w:r w:rsidR="00B01F03" w:rsidRPr="00B01F03">
        <w:t xml:space="preserve">Mag. Astrid Plenk; Tel.: +43 (0) 505 55-33331; E-Mail: </w:t>
      </w:r>
      <w:r w:rsidR="001F3F8E" w:rsidRPr="001F3F8E">
        <w:t>astrid.plenk@ages.at</w:t>
      </w:r>
    </w:p>
    <w:p w:rsidR="00BC38FF" w:rsidRPr="001F3F8E" w:rsidRDefault="00BC38FF" w:rsidP="00BC38FF">
      <w:pPr>
        <w:pStyle w:val="Impressumallg"/>
        <w:rPr>
          <w:b/>
        </w:rPr>
      </w:pPr>
      <w:r w:rsidRPr="001F3F8E">
        <w:rPr>
          <w:b/>
        </w:rPr>
        <w:t xml:space="preserve">Kooperationspartner: </w:t>
      </w:r>
    </w:p>
    <w:p w:rsidR="001F3F8E" w:rsidRDefault="003A4783" w:rsidP="001F3F8E">
      <w:pPr>
        <w:pStyle w:val="Impressumallg"/>
      </w:pPr>
      <w:r>
        <w:t>Leopold-Franzens Universität</w:t>
      </w:r>
      <w:r w:rsidR="00BC38FF">
        <w:t xml:space="preserve">t: </w:t>
      </w:r>
      <w:r>
        <w:t xml:space="preserve">Mag. Dr. Hermann Strasser; Institut für Mikrobiologie, </w:t>
      </w:r>
      <w:r w:rsidR="007E4909">
        <w:t xml:space="preserve">Tel. : </w:t>
      </w:r>
      <w:r w:rsidR="004B5B39">
        <w:t>+</w:t>
      </w:r>
      <w:r w:rsidR="007E4909">
        <w:t>43 512 507 51233; E-Mail: Hermann.Strasser@uibk.ac.atMSc Maria Zottele; Tel.:</w:t>
      </w:r>
      <w:r w:rsidR="004B5B39">
        <w:t>+</w:t>
      </w:r>
      <w:r w:rsidR="007E4909">
        <w:t>43 512 507 512 51241; E</w:t>
      </w:r>
      <w:r w:rsidR="001F3F8E">
        <w:t xml:space="preserve">-Mail: </w:t>
      </w:r>
      <w:r w:rsidR="001F3F8E" w:rsidRPr="001F3F8E">
        <w:t>Maria.Zottele@uibk.ac.at</w:t>
      </w:r>
      <w:r w:rsidR="001F3F8E">
        <w:t xml:space="preserve">; </w:t>
      </w:r>
      <w:r w:rsidR="007E4909">
        <w:t>Dr. Roland Zelger; Consultant und e</w:t>
      </w:r>
      <w:r w:rsidR="007E4909" w:rsidRPr="002D5AF2">
        <w:t>hemaliger Mitarbeiter des Land- und Forstwirtschaftliches Versuchszentrums Laimburg</w:t>
      </w:r>
      <w:r w:rsidR="007E4909">
        <w:t xml:space="preserve">; E-Mail: </w:t>
      </w:r>
      <w:r w:rsidR="007E4909" w:rsidRPr="002D5AF2">
        <w:t>roland.zelger@gmx.at</w:t>
      </w:r>
    </w:p>
    <w:p w:rsidR="00F3718B" w:rsidRDefault="007E4909" w:rsidP="001F3F8E">
      <w:pPr>
        <w:pStyle w:val="Impressumallg"/>
      </w:pPr>
      <w:r>
        <w:t>Biohelp:</w:t>
      </w:r>
      <w:r w:rsidR="001F3F8E">
        <w:t xml:space="preserve"> </w:t>
      </w:r>
      <w:r>
        <w:t>Dr. Michael Groß</w:t>
      </w:r>
      <w:r w:rsidR="00B564A4">
        <w:t xml:space="preserve"> (CEO)</w:t>
      </w:r>
      <w:r>
        <w:t xml:space="preserve">; </w:t>
      </w:r>
      <w:r w:rsidR="004B5B39">
        <w:t xml:space="preserve">Tel: +43 </w:t>
      </w:r>
      <w:r w:rsidR="004B5B39" w:rsidRPr="004B5B39">
        <w:t>1 769 9 769</w:t>
      </w:r>
      <w:r w:rsidR="004B5B39">
        <w:t xml:space="preserve">; E-Mail: </w:t>
      </w:r>
      <w:r w:rsidR="001F3F8E" w:rsidRPr="001F3F8E">
        <w:t>michael.gross@biohelp.at</w:t>
      </w:r>
      <w:r w:rsidR="001F3F8E">
        <w:t xml:space="preserve">; </w:t>
      </w:r>
      <w:r w:rsidR="004B5B39">
        <w:t xml:space="preserve">Dr. Michaela Stolz; </w:t>
      </w:r>
      <w:r w:rsidR="00F3718B">
        <w:t xml:space="preserve">Tel: </w:t>
      </w:r>
      <w:r w:rsidR="004B5B39">
        <w:t xml:space="preserve">+43 </w:t>
      </w:r>
      <w:r w:rsidR="004B5B39" w:rsidRPr="004B5B39">
        <w:t>1 769 9 769</w:t>
      </w:r>
      <w:r w:rsidR="004B5B39">
        <w:t xml:space="preserve"> 27; E-Mail: </w:t>
      </w:r>
      <w:r w:rsidR="001F3F8E" w:rsidRPr="001F3F8E">
        <w:t>michaela.stolz@biohelp.at</w:t>
      </w:r>
      <w:r w:rsidR="001F3F8E">
        <w:t xml:space="preserve">; </w:t>
      </w:r>
      <w:r w:rsidR="00F3718B">
        <w:t>Dipl. Ing. Daniel Fuchs; +43 1 7699769 24; E-Ma</w:t>
      </w:r>
      <w:r w:rsidR="00F3718B" w:rsidRPr="00CA6409">
        <w:rPr>
          <w:color w:val="auto"/>
        </w:rPr>
        <w:t xml:space="preserve">il: </w:t>
      </w:r>
      <w:hyperlink r:id="rId24" w:history="1">
        <w:r w:rsidR="00F3718B" w:rsidRPr="00CA6409">
          <w:rPr>
            <w:rStyle w:val="Hyperlink"/>
            <w:color w:val="auto"/>
            <w:u w:val="none"/>
          </w:rPr>
          <w:t>daniel.fuchs@biohelp.at</w:t>
        </w:r>
      </w:hyperlink>
      <w:r w:rsidR="001F3F8E">
        <w:t xml:space="preserve">; </w:t>
      </w:r>
      <w:r w:rsidR="00F3718B">
        <w:t>Dipl. Ing. Agim Musol</w:t>
      </w:r>
      <w:r w:rsidR="001F3F8E">
        <w:t xml:space="preserve">li; Tel.: +43 1 7699769 27; </w:t>
      </w:r>
      <w:r w:rsidR="00F3718B">
        <w:t>Dipl. Ing. Philipp Unterpirker (Nachfolger von Agim Musoll</w:t>
      </w:r>
      <w:r w:rsidR="001F3F8E">
        <w:t xml:space="preserve">i); Tel.: +43 1 7699769 27; </w:t>
      </w:r>
    </w:p>
    <w:p w:rsidR="0025469E" w:rsidRDefault="004B5B39" w:rsidP="001F3F8E">
      <w:pPr>
        <w:pStyle w:val="Impressumallg"/>
      </w:pPr>
      <w:r w:rsidRPr="0025469E">
        <w:t>TU Graz:</w:t>
      </w:r>
      <w:r w:rsidR="001F3F8E">
        <w:tab/>
      </w:r>
      <w:r w:rsidR="0025469E">
        <w:t>Univ.-Prof. Dr. Gabriele Berg; Institut für Umweltbiotechnologie; Tel.:</w:t>
      </w:r>
      <w:r w:rsidR="0025469E" w:rsidRPr="0025469E">
        <w:t xml:space="preserve"> </w:t>
      </w:r>
      <w:r w:rsidR="0025469E">
        <w:t>+43 316  873</w:t>
      </w:r>
      <w:r w:rsidR="0025469E" w:rsidRPr="0025469E">
        <w:t xml:space="preserve"> 8310</w:t>
      </w:r>
      <w:r w:rsidR="0025469E">
        <w:t>; E-Mail:</w:t>
      </w:r>
      <w:r w:rsidR="0025469E" w:rsidRPr="0025469E">
        <w:t>gabriele.berg</w:t>
      </w:r>
      <w:r w:rsidR="0025469E">
        <w:t>@</w:t>
      </w:r>
      <w:r w:rsidR="0025469E" w:rsidRPr="0025469E">
        <w:t>tugraz.at</w:t>
      </w:r>
      <w:r w:rsidR="001F3F8E">
        <w:t xml:space="preserve">; </w:t>
      </w:r>
      <w:r w:rsidR="0025469E">
        <w:t xml:space="preserve">Dipl.-Ing. Dr. Henry Müller; Tel.: +43 </w:t>
      </w:r>
      <w:r w:rsidR="0025469E" w:rsidRPr="0025469E">
        <w:t>316 873 8313</w:t>
      </w:r>
      <w:r w:rsidR="0025469E">
        <w:t xml:space="preserve">; E-Mail: </w:t>
      </w:r>
      <w:r w:rsidR="001F3F8E" w:rsidRPr="001F3F8E">
        <w:t>henry.mueller@tugraz.at</w:t>
      </w:r>
    </w:p>
    <w:p w:rsidR="001F3F8E" w:rsidRDefault="001F3F8E" w:rsidP="001F3F8E">
      <w:pPr>
        <w:pStyle w:val="Impressumallg"/>
      </w:pPr>
    </w:p>
    <w:p w:rsidR="00BC38FF" w:rsidRPr="001F3F8E" w:rsidRDefault="00682DB6" w:rsidP="00D751A4">
      <w:pPr>
        <w:pStyle w:val="Impressumallg"/>
        <w:rPr>
          <w:b/>
        </w:rPr>
      </w:pPr>
      <w:r w:rsidRPr="001F3F8E">
        <w:rPr>
          <w:b/>
        </w:rPr>
        <w:t>Finanzierungsstellen</w:t>
      </w:r>
      <w:r w:rsidR="003C0319" w:rsidRPr="001F3F8E">
        <w:rPr>
          <w:b/>
        </w:rPr>
        <w:t xml:space="preserve">: </w:t>
      </w:r>
    </w:p>
    <w:p w:rsidR="003A4783" w:rsidRDefault="003C0319" w:rsidP="00346F86">
      <w:pPr>
        <w:pStyle w:val="Impressumallg"/>
      </w:pPr>
      <w:r>
        <w:t>BMNT;</w:t>
      </w:r>
      <w:r w:rsidR="00915E8F">
        <w:t xml:space="preserve"> Amt der Steiermärkischen Landesregierung, </w:t>
      </w:r>
      <w:r>
        <w:t xml:space="preserve">Amt der OÖ Landesregierung; </w:t>
      </w:r>
      <w:r w:rsidR="00F75C9D">
        <w:t xml:space="preserve">Amt der Tiroler Landesregierung, </w:t>
      </w:r>
      <w:r>
        <w:t xml:space="preserve">Amt der Kärntner Landesregierung; Amt der Burgenländischen Landesregierung; Amt der NÖ Landesregierung; </w:t>
      </w:r>
      <w:r w:rsidR="00915E8F">
        <w:t xml:space="preserve">Amt der Salzburger Landesregierung, </w:t>
      </w:r>
      <w:r w:rsidR="00BC38FF">
        <w:t>Amt der Vorarlberger Landesregierung</w:t>
      </w:r>
      <w:r w:rsidR="00915E8F">
        <w:t>, , Magistrat der Stadt Wien MA 58 – BA12</w:t>
      </w:r>
      <w:r w:rsidR="00BC38FF">
        <w:t>.</w:t>
      </w:r>
    </w:p>
    <w:p w:rsidR="00915E8F" w:rsidRDefault="00915E8F" w:rsidP="00346F86">
      <w:pPr>
        <w:pStyle w:val="Impressumallg"/>
      </w:pPr>
    </w:p>
    <w:p w:rsidR="00BC38FF" w:rsidRPr="001F3F8E" w:rsidRDefault="00682DB6" w:rsidP="00682DB6">
      <w:pPr>
        <w:pStyle w:val="Impressumallg"/>
        <w:rPr>
          <w:b/>
        </w:rPr>
      </w:pPr>
      <w:r w:rsidRPr="001F3F8E">
        <w:rPr>
          <w:b/>
        </w:rPr>
        <w:t>Projektlaufzeit:</w:t>
      </w:r>
      <w:r w:rsidR="00AB63BC" w:rsidRPr="001F3F8E">
        <w:rPr>
          <w:b/>
        </w:rPr>
        <w:t xml:space="preserve"> </w:t>
      </w:r>
    </w:p>
    <w:p w:rsidR="001F3F8E" w:rsidRDefault="003C0319" w:rsidP="00915E8F">
      <w:pPr>
        <w:pStyle w:val="Impressumallg"/>
      </w:pPr>
      <w:r>
        <w:t>01.06.2015 – 31.12.2018</w:t>
      </w:r>
    </w:p>
    <w:p w:rsidR="00614573" w:rsidRDefault="00746D1F" w:rsidP="00915E8F">
      <w:pPr>
        <w:pStyle w:val="Impressumallg"/>
      </w:pPr>
      <w:r>
        <w:br/>
      </w:r>
      <w:r w:rsidR="00CC3E11" w:rsidRPr="0025469E">
        <w:rPr>
          <w:color w:val="auto"/>
        </w:rPr>
        <w:t>1</w:t>
      </w:r>
      <w:r w:rsidR="00614573" w:rsidRPr="0025469E">
        <w:rPr>
          <w:color w:val="auto"/>
        </w:rPr>
        <w:t xml:space="preserve">. </w:t>
      </w:r>
      <w:r w:rsidR="00614573">
        <w:t>Auflage</w:t>
      </w:r>
    </w:p>
    <w:p w:rsidR="00CC3E11" w:rsidRDefault="000968DC" w:rsidP="00346F86">
      <w:pPr>
        <w:pStyle w:val="Impressumallg"/>
      </w:pPr>
      <w:r>
        <w:rPr>
          <w:lang w:val="de-AT" w:eastAsia="de-AT"/>
        </w:rPr>
        <w:drawing>
          <wp:inline distT="0" distB="0" distL="0" distR="0" wp14:anchorId="206C79C4" wp14:editId="7C881337">
            <wp:extent cx="4178808" cy="794217"/>
            <wp:effectExtent l="0" t="0" r="0" b="6350"/>
            <wp:docPr id="6" name="Grafik 6" descr="Platzha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EFC_UWZ_Gross_Platzhalter.jpg"/>
                    <pic:cNvPicPr/>
                  </pic:nvPicPr>
                  <pic:blipFill>
                    <a:blip r:embed="rId25">
                      <a:extLst>
                        <a:ext uri="{28A0092B-C50C-407E-A947-70E740481C1C}">
                          <a14:useLocalDpi xmlns:a14="http://schemas.microsoft.com/office/drawing/2010/main" val="0"/>
                        </a:ext>
                      </a:extLst>
                    </a:blip>
                    <a:stretch>
                      <a:fillRect/>
                    </a:stretch>
                  </pic:blipFill>
                  <pic:spPr>
                    <a:xfrm>
                      <a:off x="0" y="0"/>
                      <a:ext cx="4178808" cy="794217"/>
                    </a:xfrm>
                    <a:prstGeom prst="rect">
                      <a:avLst/>
                    </a:prstGeom>
                  </pic:spPr>
                </pic:pic>
              </a:graphicData>
            </a:graphic>
          </wp:inline>
        </w:drawing>
      </w:r>
    </w:p>
    <w:p w:rsidR="00614573" w:rsidRDefault="00614573" w:rsidP="00614573">
      <w:pPr>
        <w:pStyle w:val="Impressumallg"/>
        <w:tabs>
          <w:tab w:val="left" w:pos="3308"/>
        </w:tabs>
      </w:pPr>
      <w:r>
        <w:t>Alle Rechte vorbehalten.</w:t>
      </w:r>
    </w:p>
    <w:p w:rsidR="00417A85" w:rsidRPr="00066A0F" w:rsidRDefault="00614573" w:rsidP="00614573">
      <w:pPr>
        <w:pStyle w:val="Impressumallg"/>
        <w:tabs>
          <w:tab w:val="left" w:pos="3308"/>
        </w:tabs>
        <w:sectPr w:rsidR="00417A85" w:rsidRPr="00066A0F" w:rsidSect="00A85C8F">
          <w:type w:val="continuous"/>
          <w:pgSz w:w="11900" w:h="16840"/>
          <w:pgMar w:top="3649" w:right="1361" w:bottom="993" w:left="1361" w:header="680" w:footer="680" w:gutter="0"/>
          <w:cols w:space="708"/>
          <w:titlePg/>
        </w:sectPr>
      </w:pPr>
      <w:r>
        <w:t>Wien</w:t>
      </w:r>
      <w:r w:rsidRPr="00346F86">
        <w:rPr>
          <w:color w:val="auto"/>
        </w:rPr>
        <w:t xml:space="preserve">, </w:t>
      </w:r>
      <w:r w:rsidR="001F3F8E">
        <w:rPr>
          <w:color w:val="auto"/>
        </w:rPr>
        <w:t>30</w:t>
      </w:r>
      <w:r w:rsidRPr="00346F86">
        <w:rPr>
          <w:color w:val="auto"/>
        </w:rPr>
        <w:t xml:space="preserve">. </w:t>
      </w:r>
      <w:r w:rsidR="001F3F8E">
        <w:rPr>
          <w:color w:val="auto"/>
        </w:rPr>
        <w:t>04</w:t>
      </w:r>
      <w:r w:rsidRPr="00346F86">
        <w:rPr>
          <w:color w:val="auto"/>
        </w:rPr>
        <w:t>. 201</w:t>
      </w:r>
      <w:r w:rsidR="001F3F8E">
        <w:rPr>
          <w:color w:val="auto"/>
        </w:rPr>
        <w:t>9</w:t>
      </w:r>
    </w:p>
    <w:p w:rsidR="00723B9B" w:rsidRDefault="00346F86" w:rsidP="00706CD2">
      <w:pPr>
        <w:pStyle w:val="Titelblau24pt"/>
      </w:pPr>
      <w:r w:rsidRPr="00346F86">
        <w:t xml:space="preserve">ALTERNATIVE BIOLOGISCHE METHODEN ZUM SCHUTZ DES MAISES VOR DEM MAISWURZELBOHRER (DIABROTICA VIRGIFERA) </w:t>
      </w:r>
    </w:p>
    <w:p w:rsidR="00474E4D" w:rsidRPr="00474E4D" w:rsidRDefault="00474E4D" w:rsidP="00474E4D">
      <w:pPr>
        <w:pStyle w:val="FlietextEinleitung"/>
      </w:pPr>
    </w:p>
    <w:p w:rsidR="00723B9B" w:rsidRPr="00723B9B" w:rsidRDefault="00723B9B" w:rsidP="00474E4D">
      <w:pPr>
        <w:pStyle w:val="berschrift118pt"/>
        <w:numPr>
          <w:ilvl w:val="0"/>
          <w:numId w:val="0"/>
        </w:numPr>
        <w:ind w:left="680" w:firstLine="29"/>
      </w:pPr>
      <w:bookmarkStart w:id="3" w:name="_Toc7715547"/>
      <w:r>
        <w:t xml:space="preserve">Akronym: </w:t>
      </w:r>
      <w:r w:rsidR="00346F86" w:rsidRPr="00346F86">
        <w:t>DIACONT</w:t>
      </w:r>
      <w:bookmarkEnd w:id="3"/>
    </w:p>
    <w:p w:rsidR="00525D30" w:rsidRDefault="00DF2CBB" w:rsidP="006225BA">
      <w:pPr>
        <w:pStyle w:val="Flietext"/>
        <w:sectPr w:rsidR="00525D30" w:rsidSect="00DF229E">
          <w:headerReference w:type="first" r:id="rId26"/>
          <w:footerReference w:type="first" r:id="rId27"/>
          <w:pgSz w:w="11900" w:h="16840"/>
          <w:pgMar w:top="1361" w:right="1361" w:bottom="1361" w:left="1361" w:header="680" w:footer="680" w:gutter="0"/>
          <w:cols w:space="708"/>
          <w:titlePg/>
        </w:sectPr>
      </w:pPr>
      <w:r>
        <w:rPr>
          <w:noProof/>
          <w:lang w:eastAsia="de-AT"/>
        </w:rPr>
        <w:drawing>
          <wp:anchor distT="0" distB="0" distL="114300" distR="114300" simplePos="0" relativeHeight="251757056" behindDoc="1" locked="0" layoutInCell="1" allowOverlap="1" wp14:anchorId="5354566C" wp14:editId="048B6FD2">
            <wp:simplePos x="0" y="0"/>
            <wp:positionH relativeFrom="column">
              <wp:posOffset>2226310</wp:posOffset>
            </wp:positionH>
            <wp:positionV relativeFrom="paragraph">
              <wp:posOffset>1110615</wp:posOffset>
            </wp:positionV>
            <wp:extent cx="1690370" cy="433070"/>
            <wp:effectExtent l="0" t="0" r="5080" b="5080"/>
            <wp:wrapTight wrapText="bothSides">
              <wp:wrapPolygon edited="0">
                <wp:start x="0" y="0"/>
                <wp:lineTo x="0" y="20903"/>
                <wp:lineTo x="21421" y="20903"/>
                <wp:lineTo x="21421" y="0"/>
                <wp:lineTo x="0" y="0"/>
              </wp:wrapPolygon>
            </wp:wrapTight>
            <wp:docPr id="10" name="Grafik 10" descr="C:\Users\kathar23\AppData\Local\Temp\notes21AC10\biohelp-Logo.jpg" title="Logo Bio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thar23\AppData\Local\Temp\notes21AC10\biohelp-Logo.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90370" cy="4330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AT"/>
        </w:rPr>
        <w:drawing>
          <wp:anchor distT="0" distB="0" distL="114300" distR="114300" simplePos="0" relativeHeight="251438592" behindDoc="1" locked="0" layoutInCell="1" allowOverlap="1" wp14:anchorId="00B72430" wp14:editId="313976B3">
            <wp:simplePos x="0" y="0"/>
            <wp:positionH relativeFrom="column">
              <wp:posOffset>4197985</wp:posOffset>
            </wp:positionH>
            <wp:positionV relativeFrom="paragraph">
              <wp:posOffset>810895</wp:posOffset>
            </wp:positionV>
            <wp:extent cx="1219200" cy="908685"/>
            <wp:effectExtent l="0" t="0" r="0" b="5715"/>
            <wp:wrapTight wrapText="bothSides">
              <wp:wrapPolygon edited="0">
                <wp:start x="6075" y="0"/>
                <wp:lineTo x="0" y="2264"/>
                <wp:lineTo x="0" y="21283"/>
                <wp:lineTo x="21263" y="21283"/>
                <wp:lineTo x="21263" y="3170"/>
                <wp:lineTo x="19913" y="2264"/>
                <wp:lineTo x="11475" y="0"/>
                <wp:lineTo x="6075" y="0"/>
              </wp:wrapPolygon>
            </wp:wrapTight>
            <wp:docPr id="3" name="Grafik 3" title="Logo TU G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19200" cy="908685"/>
                    </a:xfrm>
                    <a:prstGeom prst="rect">
                      <a:avLst/>
                    </a:prstGeom>
                    <a:noFill/>
                    <a:ln>
                      <a:noFill/>
                    </a:ln>
                  </pic:spPr>
                </pic:pic>
              </a:graphicData>
            </a:graphic>
            <wp14:sizeRelH relativeFrom="page">
              <wp14:pctWidth>0</wp14:pctWidth>
            </wp14:sizeRelH>
            <wp14:sizeRelV relativeFrom="page">
              <wp14:pctHeight>0</wp14:pctHeight>
            </wp14:sizeRelV>
          </wp:anchor>
        </w:drawing>
      </w:r>
      <w:r w:rsidR="004E6D9D">
        <w:rPr>
          <w:noProof/>
          <w:lang w:eastAsia="de-AT"/>
        </w:rPr>
        <w:drawing>
          <wp:anchor distT="0" distB="0" distL="114300" distR="114300" simplePos="0" relativeHeight="251446784" behindDoc="1" locked="0" layoutInCell="1" allowOverlap="1" wp14:anchorId="0327913B" wp14:editId="1E678A19">
            <wp:simplePos x="0" y="0"/>
            <wp:positionH relativeFrom="column">
              <wp:posOffset>278765</wp:posOffset>
            </wp:positionH>
            <wp:positionV relativeFrom="paragraph">
              <wp:posOffset>844550</wp:posOffset>
            </wp:positionV>
            <wp:extent cx="1649095" cy="976630"/>
            <wp:effectExtent l="0" t="0" r="1905" b="0"/>
            <wp:wrapTight wrapText="bothSides">
              <wp:wrapPolygon edited="0">
                <wp:start x="14638" y="0"/>
                <wp:lineTo x="1331" y="8427"/>
                <wp:lineTo x="0" y="14044"/>
                <wp:lineTo x="0" y="15168"/>
                <wp:lineTo x="15304" y="17977"/>
                <wp:lineTo x="15304" y="18538"/>
                <wp:lineTo x="16635" y="20785"/>
                <wp:lineTo x="16967" y="20785"/>
                <wp:lineTo x="18631" y="20785"/>
                <wp:lineTo x="21292" y="20785"/>
                <wp:lineTo x="21292" y="18538"/>
                <wp:lineTo x="19296" y="8988"/>
                <wp:lineTo x="21292" y="2809"/>
                <wp:lineTo x="20960" y="2247"/>
                <wp:lineTo x="16302" y="0"/>
                <wp:lineTo x="14638" y="0"/>
              </wp:wrapPolygon>
            </wp:wrapTight>
            <wp:docPr id="9" name="Logo" descr="Unternehmenslogo der Österreichische Agentur für Gesundheit und Ernährungssicherheit GmbH" title="Unternehmenslogo 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go" descr="Unternehmenslogo der Österreichische Agentur für Gesundheit und Ernährungssicherheit GmbH" title="Unternehmenslogo AGES"/>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9095" cy="97663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4E6D9D">
        <w:rPr>
          <w:noProof/>
          <w:lang w:eastAsia="de-AT"/>
        </w:rPr>
        <w:drawing>
          <wp:anchor distT="0" distB="0" distL="114300" distR="114300" simplePos="0" relativeHeight="251454976" behindDoc="1" locked="0" layoutInCell="1" allowOverlap="1" wp14:anchorId="03AB8CC3" wp14:editId="6743CBE9">
            <wp:simplePos x="0" y="0"/>
            <wp:positionH relativeFrom="column">
              <wp:posOffset>83185</wp:posOffset>
            </wp:positionH>
            <wp:positionV relativeFrom="paragraph">
              <wp:posOffset>1981835</wp:posOffset>
            </wp:positionV>
            <wp:extent cx="5762625" cy="962025"/>
            <wp:effectExtent l="0" t="0" r="9525" b="9525"/>
            <wp:wrapTight wrapText="bothSides">
              <wp:wrapPolygon edited="0">
                <wp:start x="0" y="0"/>
                <wp:lineTo x="0" y="21386"/>
                <wp:lineTo x="21564" y="21386"/>
                <wp:lineTo x="21564" y="0"/>
                <wp:lineTo x="0" y="0"/>
              </wp:wrapPolygon>
            </wp:wrapTight>
            <wp:docPr id="48" name="Grafik 48" descr="LFUI-Mibio-Header"/>
            <wp:cNvGraphicFramePr/>
            <a:graphic xmlns:a="http://schemas.openxmlformats.org/drawingml/2006/main">
              <a:graphicData uri="http://schemas.openxmlformats.org/drawingml/2006/picture">
                <pic:pic xmlns:pic="http://schemas.openxmlformats.org/drawingml/2006/picture">
                  <pic:nvPicPr>
                    <pic:cNvPr id="2" name="Grafik 2" descr="LFUI-Mibio-Header"/>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2625"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005C1CA0">
        <w:br/>
      </w:r>
    </w:p>
    <w:p w:rsidR="003501E5" w:rsidRDefault="003501E5" w:rsidP="00C37B6E">
      <w:pPr>
        <w:pStyle w:val="Tabellentitel"/>
      </w:pPr>
      <w:r>
        <w:t>Inhaltsverzeichnis</w:t>
      </w:r>
    </w:p>
    <w:p w:rsidR="00871DEE" w:rsidRDefault="004A6876">
      <w:pPr>
        <w:pStyle w:val="Verzeichnis1"/>
        <w:rPr>
          <w:rFonts w:asciiTheme="minorHAnsi" w:hAnsiTheme="minorHAnsi" w:cstheme="minorBidi"/>
          <w:bCs w:val="0"/>
          <w:caps w:val="0"/>
          <w:color w:val="auto"/>
          <w:sz w:val="22"/>
          <w:szCs w:val="22"/>
          <w:lang w:val="de-DE" w:eastAsia="de-DE"/>
        </w:rPr>
      </w:pPr>
      <w:r>
        <w:rPr>
          <w:bCs w:val="0"/>
          <w:caps w:val="0"/>
        </w:rPr>
        <w:fldChar w:fldCharType="begin"/>
      </w:r>
      <w:r>
        <w:rPr>
          <w:bCs w:val="0"/>
          <w:caps w:val="0"/>
        </w:rPr>
        <w:instrText xml:space="preserve"> TOC \h \z \t "Überschrift 1;1;Überschrift 2. Grad;2;1. Unterkapitel;2;1.1 Unterkapitel;3;1.2 Unterkapitel;4;1.3 Unterkapitel;5;1.4 Unterkapitel;6;1.5 Unterkapitel;7;Überschrift 1 28pt;1;Impressum Überschrift Ebene 1;1;Überschrift 1 18pt;1;Überschrift 1 38pt;1" </w:instrText>
      </w:r>
      <w:r>
        <w:rPr>
          <w:bCs w:val="0"/>
          <w:caps w:val="0"/>
        </w:rPr>
        <w:fldChar w:fldCharType="separate"/>
      </w:r>
      <w:hyperlink w:anchor="_Toc7715546" w:history="1">
        <w:r w:rsidR="00871DEE" w:rsidRPr="00D5732F">
          <w:rPr>
            <w:rStyle w:val="Hyperlink"/>
          </w:rPr>
          <w:t>IMPRESSUM</w:t>
        </w:r>
        <w:r w:rsidR="00871DEE">
          <w:rPr>
            <w:webHidden/>
          </w:rPr>
          <w:tab/>
        </w:r>
        <w:r w:rsidR="00871DEE">
          <w:rPr>
            <w:webHidden/>
          </w:rPr>
          <w:fldChar w:fldCharType="begin"/>
        </w:r>
        <w:r w:rsidR="00871DEE">
          <w:rPr>
            <w:webHidden/>
          </w:rPr>
          <w:instrText xml:space="preserve"> PAGEREF _Toc7715546 \h </w:instrText>
        </w:r>
        <w:r w:rsidR="00871DEE">
          <w:rPr>
            <w:webHidden/>
          </w:rPr>
        </w:r>
        <w:r w:rsidR="00871DEE">
          <w:rPr>
            <w:webHidden/>
          </w:rPr>
          <w:fldChar w:fldCharType="separate"/>
        </w:r>
        <w:r w:rsidR="00871DEE">
          <w:rPr>
            <w:webHidden/>
          </w:rPr>
          <w:t>2</w:t>
        </w:r>
        <w:r w:rsidR="00871DEE">
          <w:rPr>
            <w:webHidden/>
          </w:rPr>
          <w:fldChar w:fldCharType="end"/>
        </w:r>
      </w:hyperlink>
    </w:p>
    <w:p w:rsidR="00871DEE" w:rsidRDefault="00ED396A">
      <w:pPr>
        <w:pStyle w:val="Verzeichnis1"/>
        <w:rPr>
          <w:rFonts w:asciiTheme="minorHAnsi" w:hAnsiTheme="minorHAnsi" w:cstheme="minorBidi"/>
          <w:bCs w:val="0"/>
          <w:caps w:val="0"/>
          <w:color w:val="auto"/>
          <w:sz w:val="22"/>
          <w:szCs w:val="22"/>
          <w:lang w:val="de-DE" w:eastAsia="de-DE"/>
        </w:rPr>
      </w:pPr>
      <w:hyperlink w:anchor="_Toc7715547" w:history="1">
        <w:r w:rsidR="00871DEE" w:rsidRPr="00D5732F">
          <w:rPr>
            <w:rStyle w:val="Hyperlink"/>
          </w:rPr>
          <w:t>Akronym: DIACONT</w:t>
        </w:r>
        <w:r w:rsidR="00871DEE">
          <w:rPr>
            <w:webHidden/>
          </w:rPr>
          <w:tab/>
        </w:r>
        <w:r w:rsidR="00871DEE">
          <w:rPr>
            <w:webHidden/>
          </w:rPr>
          <w:fldChar w:fldCharType="begin"/>
        </w:r>
        <w:r w:rsidR="00871DEE">
          <w:rPr>
            <w:webHidden/>
          </w:rPr>
          <w:instrText xml:space="preserve"> PAGEREF _Toc7715547 \h </w:instrText>
        </w:r>
        <w:r w:rsidR="00871DEE">
          <w:rPr>
            <w:webHidden/>
          </w:rPr>
        </w:r>
        <w:r w:rsidR="00871DEE">
          <w:rPr>
            <w:webHidden/>
          </w:rPr>
          <w:fldChar w:fldCharType="separate"/>
        </w:r>
        <w:r w:rsidR="00871DEE">
          <w:rPr>
            <w:webHidden/>
          </w:rPr>
          <w:t>3</w:t>
        </w:r>
        <w:r w:rsidR="00871DEE">
          <w:rPr>
            <w:webHidden/>
          </w:rPr>
          <w:fldChar w:fldCharType="end"/>
        </w:r>
      </w:hyperlink>
    </w:p>
    <w:p w:rsidR="00871DEE" w:rsidRDefault="00ED396A">
      <w:pPr>
        <w:pStyle w:val="Verzeichnis1"/>
        <w:rPr>
          <w:rFonts w:asciiTheme="minorHAnsi" w:hAnsiTheme="minorHAnsi" w:cstheme="minorBidi"/>
          <w:bCs w:val="0"/>
          <w:caps w:val="0"/>
          <w:color w:val="auto"/>
          <w:sz w:val="22"/>
          <w:szCs w:val="22"/>
          <w:lang w:val="de-DE" w:eastAsia="de-DE"/>
        </w:rPr>
      </w:pPr>
      <w:hyperlink w:anchor="_Toc7715548" w:history="1">
        <w:r w:rsidR="00871DEE" w:rsidRPr="00D5732F">
          <w:rPr>
            <w:rStyle w:val="Hyperlink"/>
          </w:rPr>
          <w:t>1</w:t>
        </w:r>
        <w:r w:rsidR="00871DEE">
          <w:rPr>
            <w:rFonts w:asciiTheme="minorHAnsi" w:hAnsiTheme="minorHAnsi" w:cstheme="minorBidi"/>
            <w:bCs w:val="0"/>
            <w:caps w:val="0"/>
            <w:color w:val="auto"/>
            <w:sz w:val="22"/>
            <w:szCs w:val="22"/>
            <w:lang w:val="de-DE" w:eastAsia="de-DE"/>
          </w:rPr>
          <w:tab/>
        </w:r>
        <w:r w:rsidR="00871DEE" w:rsidRPr="00D5732F">
          <w:rPr>
            <w:rStyle w:val="Hyperlink"/>
          </w:rPr>
          <w:t>Einleitung</w:t>
        </w:r>
        <w:r w:rsidR="00871DEE">
          <w:rPr>
            <w:webHidden/>
          </w:rPr>
          <w:tab/>
        </w:r>
        <w:r w:rsidR="00871DEE">
          <w:rPr>
            <w:webHidden/>
          </w:rPr>
          <w:fldChar w:fldCharType="begin"/>
        </w:r>
        <w:r w:rsidR="00871DEE">
          <w:rPr>
            <w:webHidden/>
          </w:rPr>
          <w:instrText xml:space="preserve"> PAGEREF _Toc7715548 \h </w:instrText>
        </w:r>
        <w:r w:rsidR="00871DEE">
          <w:rPr>
            <w:webHidden/>
          </w:rPr>
        </w:r>
        <w:r w:rsidR="00871DEE">
          <w:rPr>
            <w:webHidden/>
          </w:rPr>
          <w:fldChar w:fldCharType="separate"/>
        </w:r>
        <w:r w:rsidR="00871DEE">
          <w:rPr>
            <w:webHidden/>
          </w:rPr>
          <w:t>7</w:t>
        </w:r>
        <w:r w:rsidR="00871DEE">
          <w:rPr>
            <w:webHidden/>
          </w:rPr>
          <w:fldChar w:fldCharType="end"/>
        </w:r>
      </w:hyperlink>
    </w:p>
    <w:p w:rsidR="00871DEE" w:rsidRDefault="00ED396A">
      <w:pPr>
        <w:pStyle w:val="Verzeichnis1"/>
        <w:rPr>
          <w:rFonts w:asciiTheme="minorHAnsi" w:hAnsiTheme="minorHAnsi" w:cstheme="minorBidi"/>
          <w:bCs w:val="0"/>
          <w:caps w:val="0"/>
          <w:color w:val="auto"/>
          <w:sz w:val="22"/>
          <w:szCs w:val="22"/>
          <w:lang w:val="de-DE" w:eastAsia="de-DE"/>
        </w:rPr>
      </w:pPr>
      <w:hyperlink w:anchor="_Toc7715549" w:history="1">
        <w:r w:rsidR="00871DEE" w:rsidRPr="00D5732F">
          <w:rPr>
            <w:rStyle w:val="Hyperlink"/>
          </w:rPr>
          <w:t>2</w:t>
        </w:r>
        <w:r w:rsidR="00871DEE">
          <w:rPr>
            <w:rFonts w:asciiTheme="minorHAnsi" w:hAnsiTheme="minorHAnsi" w:cstheme="minorBidi"/>
            <w:bCs w:val="0"/>
            <w:caps w:val="0"/>
            <w:color w:val="auto"/>
            <w:sz w:val="22"/>
            <w:szCs w:val="22"/>
            <w:lang w:val="de-DE" w:eastAsia="de-DE"/>
          </w:rPr>
          <w:tab/>
        </w:r>
        <w:r w:rsidR="00871DEE" w:rsidRPr="00D5732F">
          <w:rPr>
            <w:rStyle w:val="Hyperlink"/>
          </w:rPr>
          <w:t>Übersicht der ergebnisse zu den vier alternativen ansätzen</w:t>
        </w:r>
        <w:r w:rsidR="00871DEE">
          <w:rPr>
            <w:webHidden/>
          </w:rPr>
          <w:tab/>
        </w:r>
        <w:r w:rsidR="00871DEE">
          <w:rPr>
            <w:webHidden/>
          </w:rPr>
          <w:fldChar w:fldCharType="begin"/>
        </w:r>
        <w:r w:rsidR="00871DEE">
          <w:rPr>
            <w:webHidden/>
          </w:rPr>
          <w:instrText xml:space="preserve"> PAGEREF _Toc7715549 \h </w:instrText>
        </w:r>
        <w:r w:rsidR="00871DEE">
          <w:rPr>
            <w:webHidden/>
          </w:rPr>
        </w:r>
        <w:r w:rsidR="00871DEE">
          <w:rPr>
            <w:webHidden/>
          </w:rPr>
          <w:fldChar w:fldCharType="separate"/>
        </w:r>
        <w:r w:rsidR="00871DEE">
          <w:rPr>
            <w:webHidden/>
          </w:rPr>
          <w:t>7</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550" w:history="1">
        <w:r w:rsidR="00871DEE" w:rsidRPr="00D5732F">
          <w:rPr>
            <w:rStyle w:val="Hyperlink"/>
            <w:b/>
            <w:bCs/>
          </w:rPr>
          <w:t>Das Pilzprodukt GranMet</w:t>
        </w:r>
        <w:r w:rsidR="00871DEE" w:rsidRPr="00D5732F">
          <w:rPr>
            <w:rStyle w:val="Hyperlink"/>
            <w:vertAlign w:val="superscript"/>
          </w:rPr>
          <w:t>TM</w:t>
        </w:r>
        <w:r w:rsidR="00871DEE" w:rsidRPr="00D5732F">
          <w:rPr>
            <w:rStyle w:val="Hyperlink"/>
            <w:b/>
            <w:bCs/>
          </w:rPr>
          <w:t xml:space="preserve"> (</w:t>
        </w:r>
        <w:r w:rsidR="00871DEE" w:rsidRPr="00D5732F">
          <w:rPr>
            <w:rStyle w:val="Hyperlink"/>
            <w:b/>
            <w:bCs/>
            <w:i/>
          </w:rPr>
          <w:t>Metarhizium brunneum</w:t>
        </w:r>
        <w:r w:rsidR="00871DEE" w:rsidRPr="00D5732F">
          <w:rPr>
            <w:rStyle w:val="Hyperlink"/>
            <w:b/>
            <w:bCs/>
          </w:rPr>
          <w:t>; BIPESCO5/F52)</w:t>
        </w:r>
        <w:r w:rsidR="00871DEE">
          <w:rPr>
            <w:webHidden/>
          </w:rPr>
          <w:tab/>
        </w:r>
        <w:r w:rsidR="00871DEE">
          <w:rPr>
            <w:webHidden/>
          </w:rPr>
          <w:fldChar w:fldCharType="begin"/>
        </w:r>
        <w:r w:rsidR="00871DEE">
          <w:rPr>
            <w:webHidden/>
          </w:rPr>
          <w:instrText xml:space="preserve"> PAGEREF _Toc7715550 \h </w:instrText>
        </w:r>
        <w:r w:rsidR="00871DEE">
          <w:rPr>
            <w:webHidden/>
          </w:rPr>
        </w:r>
        <w:r w:rsidR="00871DEE">
          <w:rPr>
            <w:webHidden/>
          </w:rPr>
          <w:fldChar w:fldCharType="separate"/>
        </w:r>
        <w:r w:rsidR="00871DEE">
          <w:rPr>
            <w:webHidden/>
          </w:rPr>
          <w:t>7</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551" w:history="1">
        <w:r w:rsidR="00871DEE" w:rsidRPr="00D5732F">
          <w:rPr>
            <w:rStyle w:val="Hyperlink"/>
            <w:i/>
          </w:rPr>
          <w:t>2.1</w:t>
        </w:r>
        <w:r w:rsidR="00871DEE">
          <w:rPr>
            <w:rFonts w:asciiTheme="minorHAnsi" w:hAnsiTheme="minorHAnsi" w:cstheme="minorBidi"/>
            <w:caps w:val="0"/>
            <w:color w:val="auto"/>
            <w:sz w:val="22"/>
            <w:szCs w:val="22"/>
            <w:lang w:val="de-DE" w:eastAsia="de-DE"/>
          </w:rPr>
          <w:tab/>
        </w:r>
        <w:r w:rsidR="00871DEE" w:rsidRPr="00D5732F">
          <w:rPr>
            <w:rStyle w:val="Hyperlink"/>
          </w:rPr>
          <w:t xml:space="preserve">Untersuchung des Wirkstoffs </w:t>
        </w:r>
        <w:r w:rsidR="00871DEE" w:rsidRPr="00D5732F">
          <w:rPr>
            <w:rStyle w:val="Hyperlink"/>
            <w:i/>
          </w:rPr>
          <w:t>M. brunneum</w:t>
        </w:r>
        <w:r w:rsidR="00871DEE">
          <w:rPr>
            <w:webHidden/>
          </w:rPr>
          <w:tab/>
        </w:r>
        <w:r w:rsidR="00871DEE">
          <w:rPr>
            <w:webHidden/>
          </w:rPr>
          <w:fldChar w:fldCharType="begin"/>
        </w:r>
        <w:r w:rsidR="00871DEE">
          <w:rPr>
            <w:webHidden/>
          </w:rPr>
          <w:instrText xml:space="preserve"> PAGEREF _Toc7715551 \h </w:instrText>
        </w:r>
        <w:r w:rsidR="00871DEE">
          <w:rPr>
            <w:webHidden/>
          </w:rPr>
        </w:r>
        <w:r w:rsidR="00871DEE">
          <w:rPr>
            <w:webHidden/>
          </w:rPr>
          <w:fldChar w:fldCharType="separate"/>
        </w:r>
        <w:r w:rsidR="00871DEE">
          <w:rPr>
            <w:webHidden/>
          </w:rPr>
          <w:t>9</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552" w:history="1">
        <w:r w:rsidR="00871DEE" w:rsidRPr="00D5732F">
          <w:rPr>
            <w:rStyle w:val="Hyperlink"/>
          </w:rPr>
          <w:t>2.2</w:t>
        </w:r>
        <w:r w:rsidR="00871DEE">
          <w:rPr>
            <w:rFonts w:asciiTheme="minorHAnsi" w:hAnsiTheme="minorHAnsi" w:cstheme="minorBidi"/>
            <w:caps w:val="0"/>
            <w:color w:val="auto"/>
            <w:sz w:val="22"/>
            <w:szCs w:val="22"/>
            <w:lang w:val="de-DE" w:eastAsia="de-DE"/>
          </w:rPr>
          <w:tab/>
        </w:r>
        <w:r w:rsidR="00871DEE" w:rsidRPr="00D5732F">
          <w:rPr>
            <w:rStyle w:val="Hyperlink"/>
          </w:rPr>
          <w:t>Dauerbeobachtungsflächen in der Steiermark und Tirol</w:t>
        </w:r>
        <w:r w:rsidR="00871DEE">
          <w:rPr>
            <w:webHidden/>
          </w:rPr>
          <w:tab/>
        </w:r>
        <w:r w:rsidR="00871DEE">
          <w:rPr>
            <w:webHidden/>
          </w:rPr>
          <w:fldChar w:fldCharType="begin"/>
        </w:r>
        <w:r w:rsidR="00871DEE">
          <w:rPr>
            <w:webHidden/>
          </w:rPr>
          <w:instrText xml:space="preserve"> PAGEREF _Toc7715552 \h </w:instrText>
        </w:r>
        <w:r w:rsidR="00871DEE">
          <w:rPr>
            <w:webHidden/>
          </w:rPr>
        </w:r>
        <w:r w:rsidR="00871DEE">
          <w:rPr>
            <w:webHidden/>
          </w:rPr>
          <w:fldChar w:fldCharType="separate"/>
        </w:r>
        <w:r w:rsidR="00871DEE">
          <w:rPr>
            <w:webHidden/>
          </w:rPr>
          <w:t>9</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553" w:history="1">
        <w:r w:rsidR="00871DEE" w:rsidRPr="00D5732F">
          <w:rPr>
            <w:rStyle w:val="Hyperlink"/>
          </w:rPr>
          <w:t>2.3</w:t>
        </w:r>
        <w:r w:rsidR="00871DEE">
          <w:rPr>
            <w:rFonts w:asciiTheme="minorHAnsi" w:hAnsiTheme="minorHAnsi" w:cstheme="minorBidi"/>
            <w:caps w:val="0"/>
            <w:color w:val="auto"/>
            <w:sz w:val="22"/>
            <w:szCs w:val="22"/>
            <w:lang w:val="de-DE" w:eastAsia="de-DE"/>
          </w:rPr>
          <w:tab/>
        </w:r>
        <w:r w:rsidR="00871DEE" w:rsidRPr="00D5732F">
          <w:rPr>
            <w:rStyle w:val="Hyperlink"/>
          </w:rPr>
          <w:t>Versuchsstandorte Steiermark</w:t>
        </w:r>
        <w:r w:rsidR="00871DEE">
          <w:rPr>
            <w:webHidden/>
          </w:rPr>
          <w:tab/>
        </w:r>
        <w:r w:rsidR="00871DEE">
          <w:rPr>
            <w:webHidden/>
          </w:rPr>
          <w:fldChar w:fldCharType="begin"/>
        </w:r>
        <w:r w:rsidR="00871DEE">
          <w:rPr>
            <w:webHidden/>
          </w:rPr>
          <w:instrText xml:space="preserve"> PAGEREF _Toc7715553 \h </w:instrText>
        </w:r>
        <w:r w:rsidR="00871DEE">
          <w:rPr>
            <w:webHidden/>
          </w:rPr>
        </w:r>
        <w:r w:rsidR="00871DEE">
          <w:rPr>
            <w:webHidden/>
          </w:rPr>
          <w:fldChar w:fldCharType="separate"/>
        </w:r>
        <w:r w:rsidR="00871DEE">
          <w:rPr>
            <w:webHidden/>
          </w:rPr>
          <w:t>10</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554" w:history="1">
        <w:r w:rsidR="00871DEE" w:rsidRPr="00D5732F">
          <w:rPr>
            <w:rStyle w:val="Hyperlink"/>
            <w:noProof/>
            <w:lang w:eastAsia="de-AT"/>
          </w:rPr>
          <w:t>2.3.1</w:t>
        </w:r>
        <w:r w:rsidR="00871DEE">
          <w:rPr>
            <w:rFonts w:asciiTheme="minorHAnsi" w:hAnsiTheme="minorHAnsi" w:cstheme="minorBidi"/>
            <w:smallCaps w:val="0"/>
            <w:noProof/>
            <w:color w:val="auto"/>
            <w:sz w:val="22"/>
            <w:lang w:val="de-DE" w:eastAsia="de-DE"/>
          </w:rPr>
          <w:tab/>
        </w:r>
        <w:r w:rsidR="00871DEE" w:rsidRPr="00D5732F">
          <w:rPr>
            <w:rStyle w:val="Hyperlink"/>
            <w:noProof/>
          </w:rPr>
          <w:t>Versuchsstandorte Tirol</w:t>
        </w:r>
        <w:r w:rsidR="00871DEE">
          <w:rPr>
            <w:noProof/>
            <w:webHidden/>
          </w:rPr>
          <w:tab/>
        </w:r>
        <w:r w:rsidR="00871DEE">
          <w:rPr>
            <w:noProof/>
            <w:webHidden/>
          </w:rPr>
          <w:fldChar w:fldCharType="begin"/>
        </w:r>
        <w:r w:rsidR="00871DEE">
          <w:rPr>
            <w:noProof/>
            <w:webHidden/>
          </w:rPr>
          <w:instrText xml:space="preserve"> PAGEREF _Toc7715554 \h </w:instrText>
        </w:r>
        <w:r w:rsidR="00871DEE">
          <w:rPr>
            <w:noProof/>
            <w:webHidden/>
          </w:rPr>
        </w:r>
        <w:r w:rsidR="00871DEE">
          <w:rPr>
            <w:noProof/>
            <w:webHidden/>
          </w:rPr>
          <w:fldChar w:fldCharType="separate"/>
        </w:r>
        <w:r w:rsidR="00871DEE">
          <w:rPr>
            <w:noProof/>
            <w:webHidden/>
          </w:rPr>
          <w:t>12</w:t>
        </w:r>
        <w:r w:rsidR="00871DEE">
          <w:rPr>
            <w:noProof/>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555" w:history="1">
        <w:r w:rsidR="00871DEE" w:rsidRPr="00D5732F">
          <w:rPr>
            <w:rStyle w:val="Hyperlink"/>
          </w:rPr>
          <w:t>2.4</w:t>
        </w:r>
        <w:r w:rsidR="00871DEE">
          <w:rPr>
            <w:rFonts w:asciiTheme="minorHAnsi" w:hAnsiTheme="minorHAnsi" w:cstheme="minorBidi"/>
            <w:caps w:val="0"/>
            <w:color w:val="auto"/>
            <w:sz w:val="22"/>
            <w:szCs w:val="22"/>
            <w:lang w:val="de-DE" w:eastAsia="de-DE"/>
          </w:rPr>
          <w:tab/>
        </w:r>
        <w:r w:rsidR="00871DEE" w:rsidRPr="00D5732F">
          <w:rPr>
            <w:rStyle w:val="Hyperlink"/>
          </w:rPr>
          <w:t>Inokulative Massenapplikation von GranMet</w:t>
        </w:r>
        <w:r w:rsidR="00871DEE" w:rsidRPr="00D5732F">
          <w:rPr>
            <w:rStyle w:val="Hyperlink"/>
            <w:vertAlign w:val="superscript"/>
          </w:rPr>
          <w:t>TM</w:t>
        </w:r>
        <w:r w:rsidR="00871DEE">
          <w:rPr>
            <w:webHidden/>
          </w:rPr>
          <w:tab/>
        </w:r>
        <w:r w:rsidR="00871DEE">
          <w:rPr>
            <w:webHidden/>
          </w:rPr>
          <w:fldChar w:fldCharType="begin"/>
        </w:r>
        <w:r w:rsidR="00871DEE">
          <w:rPr>
            <w:webHidden/>
          </w:rPr>
          <w:instrText xml:space="preserve"> PAGEREF _Toc7715555 \h </w:instrText>
        </w:r>
        <w:r w:rsidR="00871DEE">
          <w:rPr>
            <w:webHidden/>
          </w:rPr>
        </w:r>
        <w:r w:rsidR="00871DEE">
          <w:rPr>
            <w:webHidden/>
          </w:rPr>
          <w:fldChar w:fldCharType="separate"/>
        </w:r>
        <w:r w:rsidR="00871DEE">
          <w:rPr>
            <w:webHidden/>
          </w:rPr>
          <w:t>13</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556" w:history="1">
        <w:r w:rsidR="00871DEE" w:rsidRPr="00D5732F">
          <w:rPr>
            <w:rStyle w:val="Hyperlink"/>
          </w:rPr>
          <w:t>2.5</w:t>
        </w:r>
        <w:r w:rsidR="00871DEE">
          <w:rPr>
            <w:rFonts w:asciiTheme="minorHAnsi" w:hAnsiTheme="minorHAnsi" w:cstheme="minorBidi"/>
            <w:caps w:val="0"/>
            <w:color w:val="auto"/>
            <w:sz w:val="22"/>
            <w:szCs w:val="22"/>
            <w:lang w:val="de-DE" w:eastAsia="de-DE"/>
          </w:rPr>
          <w:tab/>
        </w:r>
        <w:r w:rsidR="00871DEE" w:rsidRPr="00D5732F">
          <w:rPr>
            <w:rStyle w:val="Hyperlink"/>
          </w:rPr>
          <w:t>Käfermonitoring</w:t>
        </w:r>
        <w:r w:rsidR="00871DEE">
          <w:rPr>
            <w:webHidden/>
          </w:rPr>
          <w:tab/>
        </w:r>
        <w:r w:rsidR="00871DEE">
          <w:rPr>
            <w:webHidden/>
          </w:rPr>
          <w:fldChar w:fldCharType="begin"/>
        </w:r>
        <w:r w:rsidR="00871DEE">
          <w:rPr>
            <w:webHidden/>
          </w:rPr>
          <w:instrText xml:space="preserve"> PAGEREF _Toc7715556 \h </w:instrText>
        </w:r>
        <w:r w:rsidR="00871DEE">
          <w:rPr>
            <w:webHidden/>
          </w:rPr>
        </w:r>
        <w:r w:rsidR="00871DEE">
          <w:rPr>
            <w:webHidden/>
          </w:rPr>
          <w:fldChar w:fldCharType="separate"/>
        </w:r>
        <w:r w:rsidR="00871DEE">
          <w:rPr>
            <w:webHidden/>
          </w:rPr>
          <w:t>13</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557" w:history="1">
        <w:r w:rsidR="00871DEE" w:rsidRPr="00D5732F">
          <w:rPr>
            <w:rStyle w:val="Hyperlink"/>
            <w:noProof/>
          </w:rPr>
          <w:t>2.5.1</w:t>
        </w:r>
        <w:r w:rsidR="00871DEE">
          <w:rPr>
            <w:rFonts w:asciiTheme="minorHAnsi" w:hAnsiTheme="minorHAnsi" w:cstheme="minorBidi"/>
            <w:smallCaps w:val="0"/>
            <w:noProof/>
            <w:color w:val="auto"/>
            <w:sz w:val="22"/>
            <w:lang w:val="de-DE" w:eastAsia="de-DE"/>
          </w:rPr>
          <w:tab/>
        </w:r>
        <w:r w:rsidR="00871DEE" w:rsidRPr="00D5732F">
          <w:rPr>
            <w:rStyle w:val="Hyperlink"/>
            <w:noProof/>
          </w:rPr>
          <w:t>Käfermonitoring in der Steiermark</w:t>
        </w:r>
        <w:r w:rsidR="00871DEE">
          <w:rPr>
            <w:noProof/>
            <w:webHidden/>
          </w:rPr>
          <w:tab/>
        </w:r>
        <w:r w:rsidR="00871DEE">
          <w:rPr>
            <w:noProof/>
            <w:webHidden/>
          </w:rPr>
          <w:fldChar w:fldCharType="begin"/>
        </w:r>
        <w:r w:rsidR="00871DEE">
          <w:rPr>
            <w:noProof/>
            <w:webHidden/>
          </w:rPr>
          <w:instrText xml:space="preserve"> PAGEREF _Toc7715557 \h </w:instrText>
        </w:r>
        <w:r w:rsidR="00871DEE">
          <w:rPr>
            <w:noProof/>
            <w:webHidden/>
          </w:rPr>
        </w:r>
        <w:r w:rsidR="00871DEE">
          <w:rPr>
            <w:noProof/>
            <w:webHidden/>
          </w:rPr>
          <w:fldChar w:fldCharType="separate"/>
        </w:r>
        <w:r w:rsidR="00871DEE">
          <w:rPr>
            <w:noProof/>
            <w:webHidden/>
          </w:rPr>
          <w:t>13</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558" w:history="1">
        <w:r w:rsidR="00871DEE" w:rsidRPr="00D5732F">
          <w:rPr>
            <w:rStyle w:val="Hyperlink"/>
            <w:noProof/>
          </w:rPr>
          <w:t>2.5.2</w:t>
        </w:r>
        <w:r w:rsidR="00871DEE">
          <w:rPr>
            <w:rFonts w:asciiTheme="minorHAnsi" w:hAnsiTheme="minorHAnsi" w:cstheme="minorBidi"/>
            <w:smallCaps w:val="0"/>
            <w:noProof/>
            <w:color w:val="auto"/>
            <w:sz w:val="22"/>
            <w:lang w:val="de-DE" w:eastAsia="de-DE"/>
          </w:rPr>
          <w:tab/>
        </w:r>
        <w:r w:rsidR="00871DEE" w:rsidRPr="00D5732F">
          <w:rPr>
            <w:rStyle w:val="Hyperlink"/>
            <w:noProof/>
          </w:rPr>
          <w:t>Käfermonitoring in Tirol</w:t>
        </w:r>
        <w:r w:rsidR="00871DEE">
          <w:rPr>
            <w:noProof/>
            <w:webHidden/>
          </w:rPr>
          <w:tab/>
        </w:r>
        <w:r w:rsidR="00871DEE">
          <w:rPr>
            <w:noProof/>
            <w:webHidden/>
          </w:rPr>
          <w:fldChar w:fldCharType="begin"/>
        </w:r>
        <w:r w:rsidR="00871DEE">
          <w:rPr>
            <w:noProof/>
            <w:webHidden/>
          </w:rPr>
          <w:instrText xml:space="preserve"> PAGEREF _Toc7715558 \h </w:instrText>
        </w:r>
        <w:r w:rsidR="00871DEE">
          <w:rPr>
            <w:noProof/>
            <w:webHidden/>
          </w:rPr>
        </w:r>
        <w:r w:rsidR="00871DEE">
          <w:rPr>
            <w:noProof/>
            <w:webHidden/>
          </w:rPr>
          <w:fldChar w:fldCharType="separate"/>
        </w:r>
        <w:r w:rsidR="00871DEE">
          <w:rPr>
            <w:noProof/>
            <w:webHidden/>
          </w:rPr>
          <w:t>13</w:t>
        </w:r>
        <w:r w:rsidR="00871DEE">
          <w:rPr>
            <w:noProof/>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559" w:history="1">
        <w:r w:rsidR="00871DEE" w:rsidRPr="00D5732F">
          <w:rPr>
            <w:rStyle w:val="Hyperlink"/>
          </w:rPr>
          <w:t>2.6</w:t>
        </w:r>
        <w:r w:rsidR="00871DEE">
          <w:rPr>
            <w:rFonts w:asciiTheme="minorHAnsi" w:hAnsiTheme="minorHAnsi" w:cstheme="minorBidi"/>
            <w:caps w:val="0"/>
            <w:color w:val="auto"/>
            <w:sz w:val="22"/>
            <w:szCs w:val="22"/>
            <w:lang w:val="de-DE" w:eastAsia="de-DE"/>
          </w:rPr>
          <w:tab/>
        </w:r>
        <w:r w:rsidR="00871DEE" w:rsidRPr="00D5732F">
          <w:rPr>
            <w:rStyle w:val="Hyperlink"/>
          </w:rPr>
          <w:t>Pflanzenbonitur</w:t>
        </w:r>
        <w:r w:rsidR="00871DEE">
          <w:rPr>
            <w:webHidden/>
          </w:rPr>
          <w:tab/>
        </w:r>
        <w:r w:rsidR="00871DEE">
          <w:rPr>
            <w:webHidden/>
          </w:rPr>
          <w:fldChar w:fldCharType="begin"/>
        </w:r>
        <w:r w:rsidR="00871DEE">
          <w:rPr>
            <w:webHidden/>
          </w:rPr>
          <w:instrText xml:space="preserve"> PAGEREF _Toc7715559 \h </w:instrText>
        </w:r>
        <w:r w:rsidR="00871DEE">
          <w:rPr>
            <w:webHidden/>
          </w:rPr>
        </w:r>
        <w:r w:rsidR="00871DEE">
          <w:rPr>
            <w:webHidden/>
          </w:rPr>
          <w:fldChar w:fldCharType="separate"/>
        </w:r>
        <w:r w:rsidR="00871DEE">
          <w:rPr>
            <w:webHidden/>
          </w:rPr>
          <w:t>14</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560" w:history="1">
        <w:r w:rsidR="00871DEE" w:rsidRPr="00D5732F">
          <w:rPr>
            <w:rStyle w:val="Hyperlink"/>
          </w:rPr>
          <w:t>2.7</w:t>
        </w:r>
        <w:r w:rsidR="00871DEE">
          <w:rPr>
            <w:rFonts w:asciiTheme="minorHAnsi" w:hAnsiTheme="minorHAnsi" w:cstheme="minorBidi"/>
            <w:caps w:val="0"/>
            <w:color w:val="auto"/>
            <w:sz w:val="22"/>
            <w:szCs w:val="22"/>
            <w:lang w:val="de-DE" w:eastAsia="de-DE"/>
          </w:rPr>
          <w:tab/>
        </w:r>
        <w:r w:rsidR="00871DEE" w:rsidRPr="00D5732F">
          <w:rPr>
            <w:rStyle w:val="Hyperlink"/>
          </w:rPr>
          <w:t xml:space="preserve">Quantifizierung der </w:t>
        </w:r>
        <w:r w:rsidR="00871DEE" w:rsidRPr="00D5732F">
          <w:rPr>
            <w:rStyle w:val="Hyperlink"/>
            <w:i/>
          </w:rPr>
          <w:t>Metarhizium</w:t>
        </w:r>
        <w:r w:rsidR="00871DEE" w:rsidRPr="00D5732F">
          <w:rPr>
            <w:rStyle w:val="Hyperlink"/>
          </w:rPr>
          <w:t xml:space="preserve"> Abundanz im Boden</w:t>
        </w:r>
        <w:r w:rsidR="00871DEE">
          <w:rPr>
            <w:webHidden/>
          </w:rPr>
          <w:tab/>
        </w:r>
        <w:r w:rsidR="00871DEE">
          <w:rPr>
            <w:webHidden/>
          </w:rPr>
          <w:fldChar w:fldCharType="begin"/>
        </w:r>
        <w:r w:rsidR="00871DEE">
          <w:rPr>
            <w:webHidden/>
          </w:rPr>
          <w:instrText xml:space="preserve"> PAGEREF _Toc7715560 \h </w:instrText>
        </w:r>
        <w:r w:rsidR="00871DEE">
          <w:rPr>
            <w:webHidden/>
          </w:rPr>
        </w:r>
        <w:r w:rsidR="00871DEE">
          <w:rPr>
            <w:webHidden/>
          </w:rPr>
          <w:fldChar w:fldCharType="separate"/>
        </w:r>
        <w:r w:rsidR="00871DEE">
          <w:rPr>
            <w:webHidden/>
          </w:rPr>
          <w:t>15</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561" w:history="1">
        <w:r w:rsidR="00871DEE" w:rsidRPr="00D5732F">
          <w:rPr>
            <w:rStyle w:val="Hyperlink"/>
          </w:rPr>
          <w:t>2.8</w:t>
        </w:r>
        <w:r w:rsidR="00871DEE">
          <w:rPr>
            <w:rFonts w:asciiTheme="minorHAnsi" w:hAnsiTheme="minorHAnsi" w:cstheme="minorBidi"/>
            <w:caps w:val="0"/>
            <w:color w:val="auto"/>
            <w:sz w:val="22"/>
            <w:szCs w:val="22"/>
            <w:lang w:val="de-DE" w:eastAsia="de-DE"/>
          </w:rPr>
          <w:tab/>
        </w:r>
        <w:r w:rsidR="00871DEE" w:rsidRPr="00D5732F">
          <w:rPr>
            <w:rStyle w:val="Hyperlink"/>
          </w:rPr>
          <w:t xml:space="preserve">Genotypisierung der </w:t>
        </w:r>
        <w:r w:rsidR="00871DEE" w:rsidRPr="00D5732F">
          <w:rPr>
            <w:rStyle w:val="Hyperlink"/>
            <w:i/>
          </w:rPr>
          <w:t>Metarhizium</w:t>
        </w:r>
        <w:r w:rsidR="00871DEE" w:rsidRPr="00D5732F">
          <w:rPr>
            <w:rStyle w:val="Hyperlink"/>
          </w:rPr>
          <w:t xml:space="preserve"> Rückisolate</w:t>
        </w:r>
        <w:r w:rsidR="00871DEE">
          <w:rPr>
            <w:webHidden/>
          </w:rPr>
          <w:tab/>
        </w:r>
        <w:r w:rsidR="00871DEE">
          <w:rPr>
            <w:webHidden/>
          </w:rPr>
          <w:fldChar w:fldCharType="begin"/>
        </w:r>
        <w:r w:rsidR="00871DEE">
          <w:rPr>
            <w:webHidden/>
          </w:rPr>
          <w:instrText xml:space="preserve"> PAGEREF _Toc7715561 \h </w:instrText>
        </w:r>
        <w:r w:rsidR="00871DEE">
          <w:rPr>
            <w:webHidden/>
          </w:rPr>
        </w:r>
        <w:r w:rsidR="00871DEE">
          <w:rPr>
            <w:webHidden/>
          </w:rPr>
          <w:fldChar w:fldCharType="separate"/>
        </w:r>
        <w:r w:rsidR="00871DEE">
          <w:rPr>
            <w:webHidden/>
          </w:rPr>
          <w:t>15</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562" w:history="1">
        <w:r w:rsidR="00871DEE" w:rsidRPr="00D5732F">
          <w:rPr>
            <w:rStyle w:val="Hyperlink"/>
          </w:rPr>
          <w:t>2.9</w:t>
        </w:r>
        <w:r w:rsidR="00871DEE">
          <w:rPr>
            <w:rFonts w:asciiTheme="minorHAnsi" w:hAnsiTheme="minorHAnsi" w:cstheme="minorBidi"/>
            <w:caps w:val="0"/>
            <w:color w:val="auto"/>
            <w:sz w:val="22"/>
            <w:szCs w:val="22"/>
            <w:lang w:val="de-DE" w:eastAsia="de-DE"/>
          </w:rPr>
          <w:tab/>
        </w:r>
        <w:r w:rsidR="00871DEE" w:rsidRPr="00D5732F">
          <w:rPr>
            <w:rStyle w:val="Hyperlink"/>
          </w:rPr>
          <w:t>Dauerbeobachtungsflächen in der Steiermark und Tirol</w:t>
        </w:r>
        <w:r w:rsidR="00871DEE">
          <w:rPr>
            <w:webHidden/>
          </w:rPr>
          <w:tab/>
        </w:r>
        <w:r w:rsidR="00871DEE">
          <w:rPr>
            <w:webHidden/>
          </w:rPr>
          <w:fldChar w:fldCharType="begin"/>
        </w:r>
        <w:r w:rsidR="00871DEE">
          <w:rPr>
            <w:webHidden/>
          </w:rPr>
          <w:instrText xml:space="preserve"> PAGEREF _Toc7715562 \h </w:instrText>
        </w:r>
        <w:r w:rsidR="00871DEE">
          <w:rPr>
            <w:webHidden/>
          </w:rPr>
        </w:r>
        <w:r w:rsidR="00871DEE">
          <w:rPr>
            <w:webHidden/>
          </w:rPr>
          <w:fldChar w:fldCharType="separate"/>
        </w:r>
        <w:r w:rsidR="00871DEE">
          <w:rPr>
            <w:webHidden/>
          </w:rPr>
          <w:t>15</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563" w:history="1">
        <w:r w:rsidR="00871DEE" w:rsidRPr="00D5732F">
          <w:rPr>
            <w:rStyle w:val="Hyperlink"/>
            <w:noProof/>
          </w:rPr>
          <w:t>2.9.1</w:t>
        </w:r>
        <w:r w:rsidR="00871DEE">
          <w:rPr>
            <w:rFonts w:asciiTheme="minorHAnsi" w:hAnsiTheme="minorHAnsi" w:cstheme="minorBidi"/>
            <w:smallCaps w:val="0"/>
            <w:noProof/>
            <w:color w:val="auto"/>
            <w:sz w:val="22"/>
            <w:lang w:val="de-DE" w:eastAsia="de-DE"/>
          </w:rPr>
          <w:tab/>
        </w:r>
        <w:r w:rsidR="00871DEE" w:rsidRPr="00D5732F">
          <w:rPr>
            <w:rStyle w:val="Hyperlink"/>
            <w:noProof/>
          </w:rPr>
          <w:t>Pilzabundanz, Käfermonitoring und Bonitur in Dietzen und Laafeld (Steiermark)</w:t>
        </w:r>
        <w:r w:rsidR="00871DEE">
          <w:rPr>
            <w:noProof/>
            <w:webHidden/>
          </w:rPr>
          <w:tab/>
        </w:r>
        <w:r w:rsidR="00871DEE">
          <w:rPr>
            <w:noProof/>
            <w:webHidden/>
          </w:rPr>
          <w:fldChar w:fldCharType="begin"/>
        </w:r>
        <w:r w:rsidR="00871DEE">
          <w:rPr>
            <w:noProof/>
            <w:webHidden/>
          </w:rPr>
          <w:instrText xml:space="preserve"> PAGEREF _Toc7715563 \h </w:instrText>
        </w:r>
        <w:r w:rsidR="00871DEE">
          <w:rPr>
            <w:noProof/>
            <w:webHidden/>
          </w:rPr>
        </w:r>
        <w:r w:rsidR="00871DEE">
          <w:rPr>
            <w:noProof/>
            <w:webHidden/>
          </w:rPr>
          <w:fldChar w:fldCharType="separate"/>
        </w:r>
        <w:r w:rsidR="00871DEE">
          <w:rPr>
            <w:noProof/>
            <w:webHidden/>
          </w:rPr>
          <w:t>15</w:t>
        </w:r>
        <w:r w:rsidR="00871DEE">
          <w:rPr>
            <w:noProof/>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564" w:history="1">
        <w:r w:rsidR="00871DEE" w:rsidRPr="00D5732F">
          <w:rPr>
            <w:rStyle w:val="Hyperlink"/>
          </w:rPr>
          <w:t>2.9.1.1</w:t>
        </w:r>
        <w:r w:rsidR="00871DEE">
          <w:rPr>
            <w:rFonts w:asciiTheme="minorHAnsi" w:hAnsiTheme="minorHAnsi" w:cstheme="minorBidi"/>
            <w:color w:val="auto"/>
            <w:sz w:val="22"/>
            <w:szCs w:val="22"/>
            <w:lang w:val="de-DE" w:eastAsia="de-DE"/>
          </w:rPr>
          <w:tab/>
        </w:r>
        <w:r w:rsidR="00871DEE" w:rsidRPr="00D5732F">
          <w:rPr>
            <w:rStyle w:val="Hyperlink"/>
          </w:rPr>
          <w:t>Pilzabundanz</w:t>
        </w:r>
        <w:r w:rsidR="00871DEE">
          <w:rPr>
            <w:webHidden/>
          </w:rPr>
          <w:tab/>
        </w:r>
        <w:r w:rsidR="00871DEE">
          <w:rPr>
            <w:webHidden/>
          </w:rPr>
          <w:fldChar w:fldCharType="begin"/>
        </w:r>
        <w:r w:rsidR="00871DEE">
          <w:rPr>
            <w:webHidden/>
          </w:rPr>
          <w:instrText xml:space="preserve"> PAGEREF _Toc7715564 \h </w:instrText>
        </w:r>
        <w:r w:rsidR="00871DEE">
          <w:rPr>
            <w:webHidden/>
          </w:rPr>
        </w:r>
        <w:r w:rsidR="00871DEE">
          <w:rPr>
            <w:webHidden/>
          </w:rPr>
          <w:fldChar w:fldCharType="separate"/>
        </w:r>
        <w:r w:rsidR="00871DEE">
          <w:rPr>
            <w:webHidden/>
          </w:rPr>
          <w:t>15</w:t>
        </w:r>
        <w:r w:rsidR="00871DEE">
          <w:rPr>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565" w:history="1">
        <w:r w:rsidR="00871DEE" w:rsidRPr="00D5732F">
          <w:rPr>
            <w:rStyle w:val="Hyperlink"/>
          </w:rPr>
          <w:t>2.9.1.2</w:t>
        </w:r>
        <w:r w:rsidR="00871DEE">
          <w:rPr>
            <w:rFonts w:asciiTheme="minorHAnsi" w:hAnsiTheme="minorHAnsi" w:cstheme="minorBidi"/>
            <w:color w:val="auto"/>
            <w:sz w:val="22"/>
            <w:szCs w:val="22"/>
            <w:lang w:val="de-DE" w:eastAsia="de-DE"/>
          </w:rPr>
          <w:tab/>
        </w:r>
        <w:r w:rsidR="00871DEE" w:rsidRPr="00D5732F">
          <w:rPr>
            <w:rStyle w:val="Hyperlink"/>
          </w:rPr>
          <w:t>Schlupfkäfermonitoring (2016 und 2017)</w:t>
        </w:r>
        <w:r w:rsidR="00871DEE">
          <w:rPr>
            <w:webHidden/>
          </w:rPr>
          <w:tab/>
        </w:r>
        <w:r w:rsidR="00871DEE">
          <w:rPr>
            <w:webHidden/>
          </w:rPr>
          <w:fldChar w:fldCharType="begin"/>
        </w:r>
        <w:r w:rsidR="00871DEE">
          <w:rPr>
            <w:webHidden/>
          </w:rPr>
          <w:instrText xml:space="preserve"> PAGEREF _Toc7715565 \h </w:instrText>
        </w:r>
        <w:r w:rsidR="00871DEE">
          <w:rPr>
            <w:webHidden/>
          </w:rPr>
        </w:r>
        <w:r w:rsidR="00871DEE">
          <w:rPr>
            <w:webHidden/>
          </w:rPr>
          <w:fldChar w:fldCharType="separate"/>
        </w:r>
        <w:r w:rsidR="00871DEE">
          <w:rPr>
            <w:webHidden/>
          </w:rPr>
          <w:t>19</w:t>
        </w:r>
        <w:r w:rsidR="00871DEE">
          <w:rPr>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566" w:history="1">
        <w:r w:rsidR="00871DEE" w:rsidRPr="00D5732F">
          <w:rPr>
            <w:rStyle w:val="Hyperlink"/>
          </w:rPr>
          <w:t>2.9.1.3</w:t>
        </w:r>
        <w:r w:rsidR="00871DEE">
          <w:rPr>
            <w:rFonts w:asciiTheme="minorHAnsi" w:hAnsiTheme="minorHAnsi" w:cstheme="minorBidi"/>
            <w:color w:val="auto"/>
            <w:sz w:val="22"/>
            <w:szCs w:val="22"/>
            <w:lang w:val="de-DE" w:eastAsia="de-DE"/>
          </w:rPr>
          <w:tab/>
        </w:r>
        <w:r w:rsidR="00871DEE" w:rsidRPr="00D5732F">
          <w:rPr>
            <w:rStyle w:val="Hyperlink"/>
          </w:rPr>
          <w:t>Pflanzenbonitur</w:t>
        </w:r>
        <w:r w:rsidR="00871DEE">
          <w:rPr>
            <w:webHidden/>
          </w:rPr>
          <w:tab/>
        </w:r>
        <w:r w:rsidR="00871DEE">
          <w:rPr>
            <w:webHidden/>
          </w:rPr>
          <w:fldChar w:fldCharType="begin"/>
        </w:r>
        <w:r w:rsidR="00871DEE">
          <w:rPr>
            <w:webHidden/>
          </w:rPr>
          <w:instrText xml:space="preserve"> PAGEREF _Toc7715566 \h </w:instrText>
        </w:r>
        <w:r w:rsidR="00871DEE">
          <w:rPr>
            <w:webHidden/>
          </w:rPr>
        </w:r>
        <w:r w:rsidR="00871DEE">
          <w:rPr>
            <w:webHidden/>
          </w:rPr>
          <w:fldChar w:fldCharType="separate"/>
        </w:r>
        <w:r w:rsidR="00871DEE">
          <w:rPr>
            <w:webHidden/>
          </w:rPr>
          <w:t>19</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567" w:history="1">
        <w:r w:rsidR="00871DEE" w:rsidRPr="00D5732F">
          <w:rPr>
            <w:rStyle w:val="Hyperlink"/>
            <w:noProof/>
          </w:rPr>
          <w:t>2.9.2</w:t>
        </w:r>
        <w:r w:rsidR="00871DEE">
          <w:rPr>
            <w:rFonts w:asciiTheme="minorHAnsi" w:hAnsiTheme="minorHAnsi" w:cstheme="minorBidi"/>
            <w:smallCaps w:val="0"/>
            <w:noProof/>
            <w:color w:val="auto"/>
            <w:sz w:val="22"/>
            <w:lang w:val="de-DE" w:eastAsia="de-DE"/>
          </w:rPr>
          <w:tab/>
        </w:r>
        <w:r w:rsidR="00871DEE" w:rsidRPr="00D5732F">
          <w:rPr>
            <w:rStyle w:val="Hyperlink"/>
            <w:noProof/>
          </w:rPr>
          <w:t>Pilzpersistenz und Käferabundanz in den Präventionsflächen St. Johann in Tirol</w:t>
        </w:r>
        <w:r w:rsidR="00871DEE">
          <w:rPr>
            <w:noProof/>
            <w:webHidden/>
          </w:rPr>
          <w:tab/>
        </w:r>
        <w:r w:rsidR="00871DEE">
          <w:rPr>
            <w:noProof/>
            <w:webHidden/>
          </w:rPr>
          <w:fldChar w:fldCharType="begin"/>
        </w:r>
        <w:r w:rsidR="00871DEE">
          <w:rPr>
            <w:noProof/>
            <w:webHidden/>
          </w:rPr>
          <w:instrText xml:space="preserve"> PAGEREF _Toc7715567 \h </w:instrText>
        </w:r>
        <w:r w:rsidR="00871DEE">
          <w:rPr>
            <w:noProof/>
            <w:webHidden/>
          </w:rPr>
        </w:r>
        <w:r w:rsidR="00871DEE">
          <w:rPr>
            <w:noProof/>
            <w:webHidden/>
          </w:rPr>
          <w:fldChar w:fldCharType="separate"/>
        </w:r>
        <w:r w:rsidR="00871DEE">
          <w:rPr>
            <w:noProof/>
            <w:webHidden/>
          </w:rPr>
          <w:t>21</w:t>
        </w:r>
        <w:r w:rsidR="00871DEE">
          <w:rPr>
            <w:noProof/>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568" w:history="1">
        <w:r w:rsidR="00871DEE" w:rsidRPr="00D5732F">
          <w:rPr>
            <w:rStyle w:val="Hyperlink"/>
          </w:rPr>
          <w:t>2.9.2.1</w:t>
        </w:r>
        <w:r w:rsidR="00871DEE">
          <w:rPr>
            <w:rFonts w:asciiTheme="minorHAnsi" w:hAnsiTheme="minorHAnsi" w:cstheme="minorBidi"/>
            <w:color w:val="auto"/>
            <w:sz w:val="22"/>
            <w:szCs w:val="22"/>
            <w:lang w:val="de-DE" w:eastAsia="de-DE"/>
          </w:rPr>
          <w:tab/>
        </w:r>
        <w:r w:rsidR="00871DEE" w:rsidRPr="00D5732F">
          <w:rPr>
            <w:rStyle w:val="Hyperlink"/>
          </w:rPr>
          <w:t>Pilzabundanz</w:t>
        </w:r>
        <w:r w:rsidR="00871DEE">
          <w:rPr>
            <w:webHidden/>
          </w:rPr>
          <w:tab/>
        </w:r>
        <w:r w:rsidR="00871DEE">
          <w:rPr>
            <w:webHidden/>
          </w:rPr>
          <w:fldChar w:fldCharType="begin"/>
        </w:r>
        <w:r w:rsidR="00871DEE">
          <w:rPr>
            <w:webHidden/>
          </w:rPr>
          <w:instrText xml:space="preserve"> PAGEREF _Toc7715568 \h </w:instrText>
        </w:r>
        <w:r w:rsidR="00871DEE">
          <w:rPr>
            <w:webHidden/>
          </w:rPr>
        </w:r>
        <w:r w:rsidR="00871DEE">
          <w:rPr>
            <w:webHidden/>
          </w:rPr>
          <w:fldChar w:fldCharType="separate"/>
        </w:r>
        <w:r w:rsidR="00871DEE">
          <w:rPr>
            <w:webHidden/>
          </w:rPr>
          <w:t>21</w:t>
        </w:r>
        <w:r w:rsidR="00871DEE">
          <w:rPr>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569" w:history="1">
        <w:r w:rsidR="00871DEE" w:rsidRPr="00D5732F">
          <w:rPr>
            <w:rStyle w:val="Hyperlink"/>
          </w:rPr>
          <w:t>2.9.2.2</w:t>
        </w:r>
        <w:r w:rsidR="00871DEE">
          <w:rPr>
            <w:rFonts w:asciiTheme="minorHAnsi" w:hAnsiTheme="minorHAnsi" w:cstheme="minorBidi"/>
            <w:color w:val="auto"/>
            <w:sz w:val="22"/>
            <w:szCs w:val="22"/>
            <w:lang w:val="de-DE" w:eastAsia="de-DE"/>
          </w:rPr>
          <w:tab/>
        </w:r>
        <w:r w:rsidR="00871DEE" w:rsidRPr="00D5732F">
          <w:rPr>
            <w:rStyle w:val="Hyperlink"/>
          </w:rPr>
          <w:t>Käfermonitoring mit zwei Fallensystemen (2016, 2017 UND 2018)</w:t>
        </w:r>
        <w:r w:rsidR="00871DEE">
          <w:rPr>
            <w:webHidden/>
          </w:rPr>
          <w:tab/>
        </w:r>
        <w:r w:rsidR="00871DEE">
          <w:rPr>
            <w:webHidden/>
          </w:rPr>
          <w:fldChar w:fldCharType="begin"/>
        </w:r>
        <w:r w:rsidR="00871DEE">
          <w:rPr>
            <w:webHidden/>
          </w:rPr>
          <w:instrText xml:space="preserve"> PAGEREF _Toc7715569 \h </w:instrText>
        </w:r>
        <w:r w:rsidR="00871DEE">
          <w:rPr>
            <w:webHidden/>
          </w:rPr>
        </w:r>
        <w:r w:rsidR="00871DEE">
          <w:rPr>
            <w:webHidden/>
          </w:rPr>
          <w:fldChar w:fldCharType="separate"/>
        </w:r>
        <w:r w:rsidR="00871DEE">
          <w:rPr>
            <w:webHidden/>
          </w:rPr>
          <w:t>22</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570" w:history="1">
        <w:r w:rsidR="00871DEE" w:rsidRPr="00D5732F">
          <w:rPr>
            <w:rStyle w:val="Hyperlink"/>
          </w:rPr>
          <w:t>2.10</w:t>
        </w:r>
        <w:r w:rsidR="00871DEE">
          <w:rPr>
            <w:rFonts w:asciiTheme="minorHAnsi" w:hAnsiTheme="minorHAnsi" w:cstheme="minorBidi"/>
            <w:caps w:val="0"/>
            <w:color w:val="auto"/>
            <w:sz w:val="22"/>
            <w:szCs w:val="22"/>
            <w:lang w:val="de-DE" w:eastAsia="de-DE"/>
          </w:rPr>
          <w:tab/>
        </w:r>
        <w:r w:rsidR="00871DEE" w:rsidRPr="00D5732F">
          <w:rPr>
            <w:rStyle w:val="Hyperlink"/>
          </w:rPr>
          <w:t xml:space="preserve">Genotypisierung der </w:t>
        </w:r>
        <w:r w:rsidR="00871DEE" w:rsidRPr="00D5732F">
          <w:rPr>
            <w:rStyle w:val="Hyperlink"/>
            <w:i/>
          </w:rPr>
          <w:t>Metarhizium</w:t>
        </w:r>
        <w:r w:rsidR="00871DEE" w:rsidRPr="00D5732F">
          <w:rPr>
            <w:rStyle w:val="Hyperlink"/>
          </w:rPr>
          <w:t xml:space="preserve"> Rückisolate</w:t>
        </w:r>
        <w:r w:rsidR="00871DEE">
          <w:rPr>
            <w:webHidden/>
          </w:rPr>
          <w:tab/>
        </w:r>
        <w:r w:rsidR="00871DEE">
          <w:rPr>
            <w:webHidden/>
          </w:rPr>
          <w:fldChar w:fldCharType="begin"/>
        </w:r>
        <w:r w:rsidR="00871DEE">
          <w:rPr>
            <w:webHidden/>
          </w:rPr>
          <w:instrText xml:space="preserve"> PAGEREF _Toc7715570 \h </w:instrText>
        </w:r>
        <w:r w:rsidR="00871DEE">
          <w:rPr>
            <w:webHidden/>
          </w:rPr>
        </w:r>
        <w:r w:rsidR="00871DEE">
          <w:rPr>
            <w:webHidden/>
          </w:rPr>
          <w:fldChar w:fldCharType="separate"/>
        </w:r>
        <w:r w:rsidR="00871DEE">
          <w:rPr>
            <w:webHidden/>
          </w:rPr>
          <w:t>23</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571" w:history="1">
        <w:r w:rsidR="00871DEE" w:rsidRPr="00D5732F">
          <w:rPr>
            <w:rStyle w:val="Hyperlink"/>
          </w:rPr>
          <w:t>2.11</w:t>
        </w:r>
        <w:r w:rsidR="00871DEE">
          <w:rPr>
            <w:rFonts w:asciiTheme="minorHAnsi" w:hAnsiTheme="minorHAnsi" w:cstheme="minorBidi"/>
            <w:caps w:val="0"/>
            <w:color w:val="auto"/>
            <w:sz w:val="22"/>
            <w:szCs w:val="22"/>
            <w:lang w:val="de-DE" w:eastAsia="de-DE"/>
          </w:rPr>
          <w:tab/>
        </w:r>
        <w:r w:rsidR="00871DEE" w:rsidRPr="00D5732F">
          <w:rPr>
            <w:rStyle w:val="Hyperlink"/>
          </w:rPr>
          <w:t>GranMet</w:t>
        </w:r>
        <w:r w:rsidR="00871DEE" w:rsidRPr="00D5732F">
          <w:rPr>
            <w:rStyle w:val="Hyperlink"/>
            <w:vertAlign w:val="superscript"/>
          </w:rPr>
          <w:t>TM</w:t>
        </w:r>
        <w:r w:rsidR="00871DEE" w:rsidRPr="00D5732F">
          <w:rPr>
            <w:rStyle w:val="Hyperlink"/>
          </w:rPr>
          <w:t>-Anwendungen und seine Konsequenzen</w:t>
        </w:r>
        <w:r w:rsidR="00871DEE">
          <w:rPr>
            <w:webHidden/>
          </w:rPr>
          <w:tab/>
        </w:r>
        <w:r w:rsidR="00871DEE">
          <w:rPr>
            <w:webHidden/>
          </w:rPr>
          <w:fldChar w:fldCharType="begin"/>
        </w:r>
        <w:r w:rsidR="00871DEE">
          <w:rPr>
            <w:webHidden/>
          </w:rPr>
          <w:instrText xml:space="preserve"> PAGEREF _Toc7715571 \h </w:instrText>
        </w:r>
        <w:r w:rsidR="00871DEE">
          <w:rPr>
            <w:webHidden/>
          </w:rPr>
        </w:r>
        <w:r w:rsidR="00871DEE">
          <w:rPr>
            <w:webHidden/>
          </w:rPr>
          <w:fldChar w:fldCharType="separate"/>
        </w:r>
        <w:r w:rsidR="00871DEE">
          <w:rPr>
            <w:webHidden/>
          </w:rPr>
          <w:t>26</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572" w:history="1">
        <w:r w:rsidR="00871DEE" w:rsidRPr="00D5732F">
          <w:rPr>
            <w:rStyle w:val="Hyperlink"/>
            <w:b/>
            <w:bCs/>
          </w:rPr>
          <w:t>Insektenpathogene Nematoden (</w:t>
        </w:r>
        <w:r w:rsidR="00871DEE" w:rsidRPr="00D5732F">
          <w:rPr>
            <w:rStyle w:val="Hyperlink"/>
            <w:b/>
            <w:bCs/>
            <w:i/>
          </w:rPr>
          <w:t>Heterorhabditis bacteriophora</w:t>
        </w:r>
        <w:r w:rsidR="00871DEE" w:rsidRPr="00D5732F">
          <w:rPr>
            <w:rStyle w:val="Hyperlink"/>
            <w:b/>
            <w:bCs/>
          </w:rPr>
          <w:t>)- Dianem®</w:t>
        </w:r>
        <w:r w:rsidR="00871DEE">
          <w:rPr>
            <w:webHidden/>
          </w:rPr>
          <w:tab/>
        </w:r>
        <w:r w:rsidR="00871DEE">
          <w:rPr>
            <w:webHidden/>
          </w:rPr>
          <w:fldChar w:fldCharType="begin"/>
        </w:r>
        <w:r w:rsidR="00871DEE">
          <w:rPr>
            <w:webHidden/>
          </w:rPr>
          <w:instrText xml:space="preserve"> PAGEREF _Toc7715572 \h </w:instrText>
        </w:r>
        <w:r w:rsidR="00871DEE">
          <w:rPr>
            <w:webHidden/>
          </w:rPr>
        </w:r>
        <w:r w:rsidR="00871DEE">
          <w:rPr>
            <w:webHidden/>
          </w:rPr>
          <w:fldChar w:fldCharType="separate"/>
        </w:r>
        <w:r w:rsidR="00871DEE">
          <w:rPr>
            <w:webHidden/>
          </w:rPr>
          <w:t>27</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573" w:history="1">
        <w:r w:rsidR="00871DEE" w:rsidRPr="00D5732F">
          <w:rPr>
            <w:rStyle w:val="Hyperlink"/>
          </w:rPr>
          <w:t>2.12</w:t>
        </w:r>
        <w:r w:rsidR="00871DEE">
          <w:rPr>
            <w:rFonts w:asciiTheme="minorHAnsi" w:hAnsiTheme="minorHAnsi" w:cstheme="minorBidi"/>
            <w:caps w:val="0"/>
            <w:color w:val="auto"/>
            <w:sz w:val="22"/>
            <w:szCs w:val="22"/>
            <w:lang w:val="de-DE" w:eastAsia="de-DE"/>
          </w:rPr>
          <w:tab/>
        </w:r>
        <w:r w:rsidR="00871DEE" w:rsidRPr="00D5732F">
          <w:rPr>
            <w:rStyle w:val="Hyperlink"/>
          </w:rPr>
          <w:t>Untersuchung des produktes dianem</w:t>
        </w:r>
        <w:r w:rsidR="00871DEE">
          <w:rPr>
            <w:webHidden/>
          </w:rPr>
          <w:tab/>
        </w:r>
        <w:r w:rsidR="00871DEE">
          <w:rPr>
            <w:webHidden/>
          </w:rPr>
          <w:fldChar w:fldCharType="begin"/>
        </w:r>
        <w:r w:rsidR="00871DEE">
          <w:rPr>
            <w:webHidden/>
          </w:rPr>
          <w:instrText xml:space="preserve"> PAGEREF _Toc7715573 \h </w:instrText>
        </w:r>
        <w:r w:rsidR="00871DEE">
          <w:rPr>
            <w:webHidden/>
          </w:rPr>
        </w:r>
        <w:r w:rsidR="00871DEE">
          <w:rPr>
            <w:webHidden/>
          </w:rPr>
          <w:fldChar w:fldCharType="separate"/>
        </w:r>
        <w:r w:rsidR="00871DEE">
          <w:rPr>
            <w:webHidden/>
          </w:rPr>
          <w:t>27</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574" w:history="1">
        <w:r w:rsidR="00871DEE" w:rsidRPr="00D5732F">
          <w:rPr>
            <w:rStyle w:val="Hyperlink"/>
            <w:noProof/>
          </w:rPr>
          <w:t>2.12.1</w:t>
        </w:r>
        <w:r w:rsidR="00871DEE">
          <w:rPr>
            <w:rFonts w:asciiTheme="minorHAnsi" w:hAnsiTheme="minorHAnsi" w:cstheme="minorBidi"/>
            <w:smallCaps w:val="0"/>
            <w:noProof/>
            <w:color w:val="auto"/>
            <w:sz w:val="22"/>
            <w:lang w:val="de-DE" w:eastAsia="de-DE"/>
          </w:rPr>
          <w:tab/>
        </w:r>
        <w:r w:rsidR="00871DEE" w:rsidRPr="00D5732F">
          <w:rPr>
            <w:rStyle w:val="Hyperlink"/>
            <w:noProof/>
          </w:rPr>
          <w:t>zusammenfassung der ergebnisse von 2016 und 2017</w:t>
        </w:r>
        <w:r w:rsidR="00871DEE">
          <w:rPr>
            <w:noProof/>
            <w:webHidden/>
          </w:rPr>
          <w:tab/>
        </w:r>
        <w:r w:rsidR="00871DEE">
          <w:rPr>
            <w:noProof/>
            <w:webHidden/>
          </w:rPr>
          <w:fldChar w:fldCharType="begin"/>
        </w:r>
        <w:r w:rsidR="00871DEE">
          <w:rPr>
            <w:noProof/>
            <w:webHidden/>
          </w:rPr>
          <w:instrText xml:space="preserve"> PAGEREF _Toc7715574 \h </w:instrText>
        </w:r>
        <w:r w:rsidR="00871DEE">
          <w:rPr>
            <w:noProof/>
            <w:webHidden/>
          </w:rPr>
        </w:r>
        <w:r w:rsidR="00871DEE">
          <w:rPr>
            <w:noProof/>
            <w:webHidden/>
          </w:rPr>
          <w:fldChar w:fldCharType="separate"/>
        </w:r>
        <w:r w:rsidR="00871DEE">
          <w:rPr>
            <w:noProof/>
            <w:webHidden/>
          </w:rPr>
          <w:t>27</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575" w:history="1">
        <w:r w:rsidR="00871DEE" w:rsidRPr="00D5732F">
          <w:rPr>
            <w:rStyle w:val="Hyperlink"/>
            <w:noProof/>
          </w:rPr>
          <w:t>2.12.2</w:t>
        </w:r>
        <w:r w:rsidR="00871DEE">
          <w:rPr>
            <w:rFonts w:asciiTheme="minorHAnsi" w:hAnsiTheme="minorHAnsi" w:cstheme="minorBidi"/>
            <w:smallCaps w:val="0"/>
            <w:noProof/>
            <w:color w:val="auto"/>
            <w:sz w:val="22"/>
            <w:lang w:val="de-DE" w:eastAsia="de-DE"/>
          </w:rPr>
          <w:tab/>
        </w:r>
        <w:r w:rsidR="00871DEE" w:rsidRPr="00D5732F">
          <w:rPr>
            <w:rStyle w:val="Hyperlink"/>
            <w:noProof/>
          </w:rPr>
          <w:t>Versuchsstandorte und produkte</w:t>
        </w:r>
        <w:r w:rsidR="00871DEE">
          <w:rPr>
            <w:noProof/>
            <w:webHidden/>
          </w:rPr>
          <w:tab/>
        </w:r>
        <w:r w:rsidR="00871DEE">
          <w:rPr>
            <w:noProof/>
            <w:webHidden/>
          </w:rPr>
          <w:fldChar w:fldCharType="begin"/>
        </w:r>
        <w:r w:rsidR="00871DEE">
          <w:rPr>
            <w:noProof/>
            <w:webHidden/>
          </w:rPr>
          <w:instrText xml:space="preserve"> PAGEREF _Toc7715575 \h </w:instrText>
        </w:r>
        <w:r w:rsidR="00871DEE">
          <w:rPr>
            <w:noProof/>
            <w:webHidden/>
          </w:rPr>
        </w:r>
        <w:r w:rsidR="00871DEE">
          <w:rPr>
            <w:noProof/>
            <w:webHidden/>
          </w:rPr>
          <w:fldChar w:fldCharType="separate"/>
        </w:r>
        <w:r w:rsidR="00871DEE">
          <w:rPr>
            <w:noProof/>
            <w:webHidden/>
          </w:rPr>
          <w:t>28</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576" w:history="1">
        <w:r w:rsidR="00871DEE" w:rsidRPr="00D5732F">
          <w:rPr>
            <w:rStyle w:val="Hyperlink"/>
            <w:noProof/>
          </w:rPr>
          <w:t>2.12.3</w:t>
        </w:r>
        <w:r w:rsidR="00871DEE">
          <w:rPr>
            <w:rFonts w:asciiTheme="minorHAnsi" w:hAnsiTheme="minorHAnsi" w:cstheme="minorBidi"/>
            <w:smallCaps w:val="0"/>
            <w:noProof/>
            <w:color w:val="auto"/>
            <w:sz w:val="22"/>
            <w:lang w:val="de-DE" w:eastAsia="de-DE"/>
          </w:rPr>
          <w:tab/>
        </w:r>
        <w:r w:rsidR="00871DEE" w:rsidRPr="00D5732F">
          <w:rPr>
            <w:rStyle w:val="Hyperlink"/>
            <w:noProof/>
          </w:rPr>
          <w:t>Persistenz und virulenz ausgebrachter insektenpathogener Nematoden im Boden</w:t>
        </w:r>
        <w:r w:rsidR="00871DEE">
          <w:rPr>
            <w:noProof/>
            <w:webHidden/>
          </w:rPr>
          <w:tab/>
        </w:r>
        <w:r w:rsidR="00871DEE">
          <w:rPr>
            <w:noProof/>
            <w:webHidden/>
          </w:rPr>
          <w:fldChar w:fldCharType="begin"/>
        </w:r>
        <w:r w:rsidR="00871DEE">
          <w:rPr>
            <w:noProof/>
            <w:webHidden/>
          </w:rPr>
          <w:instrText xml:space="preserve"> PAGEREF _Toc7715576 \h </w:instrText>
        </w:r>
        <w:r w:rsidR="00871DEE">
          <w:rPr>
            <w:noProof/>
            <w:webHidden/>
          </w:rPr>
        </w:r>
        <w:r w:rsidR="00871DEE">
          <w:rPr>
            <w:noProof/>
            <w:webHidden/>
          </w:rPr>
          <w:fldChar w:fldCharType="separate"/>
        </w:r>
        <w:r w:rsidR="00871DEE">
          <w:rPr>
            <w:noProof/>
            <w:webHidden/>
          </w:rPr>
          <w:t>31</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577" w:history="1">
        <w:r w:rsidR="00871DEE" w:rsidRPr="00D5732F">
          <w:rPr>
            <w:rStyle w:val="Hyperlink"/>
            <w:noProof/>
          </w:rPr>
          <w:t>2.12.4</w:t>
        </w:r>
        <w:r w:rsidR="00871DEE">
          <w:rPr>
            <w:rFonts w:asciiTheme="minorHAnsi" w:hAnsiTheme="minorHAnsi" w:cstheme="minorBidi"/>
            <w:smallCaps w:val="0"/>
            <w:noProof/>
            <w:color w:val="auto"/>
            <w:sz w:val="22"/>
            <w:lang w:val="de-DE" w:eastAsia="de-DE"/>
          </w:rPr>
          <w:tab/>
        </w:r>
        <w:r w:rsidR="00871DEE" w:rsidRPr="00D5732F">
          <w:rPr>
            <w:rStyle w:val="Hyperlink"/>
            <w:noProof/>
          </w:rPr>
          <w:t>Vergleich unterschiedlicher Auswertungsmethoden des Käferschlupfes bzw. des Schadbildes im Feld</w:t>
        </w:r>
        <w:r w:rsidR="00871DEE">
          <w:rPr>
            <w:noProof/>
            <w:webHidden/>
          </w:rPr>
          <w:tab/>
        </w:r>
        <w:r w:rsidR="00871DEE">
          <w:rPr>
            <w:noProof/>
            <w:webHidden/>
          </w:rPr>
          <w:fldChar w:fldCharType="begin"/>
        </w:r>
        <w:r w:rsidR="00871DEE">
          <w:rPr>
            <w:noProof/>
            <w:webHidden/>
          </w:rPr>
          <w:instrText xml:space="preserve"> PAGEREF _Toc7715577 \h </w:instrText>
        </w:r>
        <w:r w:rsidR="00871DEE">
          <w:rPr>
            <w:noProof/>
            <w:webHidden/>
          </w:rPr>
        </w:r>
        <w:r w:rsidR="00871DEE">
          <w:rPr>
            <w:noProof/>
            <w:webHidden/>
          </w:rPr>
          <w:fldChar w:fldCharType="separate"/>
        </w:r>
        <w:r w:rsidR="00871DEE">
          <w:rPr>
            <w:noProof/>
            <w:webHidden/>
          </w:rPr>
          <w:t>32</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578" w:history="1">
        <w:r w:rsidR="00871DEE" w:rsidRPr="00D5732F">
          <w:rPr>
            <w:rStyle w:val="Hyperlink"/>
            <w:noProof/>
          </w:rPr>
          <w:t>2.12.5</w:t>
        </w:r>
        <w:r w:rsidR="00871DEE">
          <w:rPr>
            <w:rFonts w:asciiTheme="minorHAnsi" w:hAnsiTheme="minorHAnsi" w:cstheme="minorBidi"/>
            <w:smallCaps w:val="0"/>
            <w:noProof/>
            <w:color w:val="auto"/>
            <w:sz w:val="22"/>
            <w:lang w:val="de-DE" w:eastAsia="de-DE"/>
          </w:rPr>
          <w:tab/>
        </w:r>
        <w:r w:rsidR="00871DEE" w:rsidRPr="00D5732F">
          <w:rPr>
            <w:rStyle w:val="Hyperlink"/>
            <w:noProof/>
          </w:rPr>
          <w:t>Feldversuch 2016</w:t>
        </w:r>
        <w:r w:rsidR="00871DEE">
          <w:rPr>
            <w:noProof/>
            <w:webHidden/>
          </w:rPr>
          <w:tab/>
        </w:r>
        <w:r w:rsidR="00871DEE">
          <w:rPr>
            <w:noProof/>
            <w:webHidden/>
          </w:rPr>
          <w:fldChar w:fldCharType="begin"/>
        </w:r>
        <w:r w:rsidR="00871DEE">
          <w:rPr>
            <w:noProof/>
            <w:webHidden/>
          </w:rPr>
          <w:instrText xml:space="preserve"> PAGEREF _Toc7715578 \h </w:instrText>
        </w:r>
        <w:r w:rsidR="00871DEE">
          <w:rPr>
            <w:noProof/>
            <w:webHidden/>
          </w:rPr>
        </w:r>
        <w:r w:rsidR="00871DEE">
          <w:rPr>
            <w:noProof/>
            <w:webHidden/>
          </w:rPr>
          <w:fldChar w:fldCharType="separate"/>
        </w:r>
        <w:r w:rsidR="00871DEE">
          <w:rPr>
            <w:noProof/>
            <w:webHidden/>
          </w:rPr>
          <w:t>34</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579" w:history="1">
        <w:r w:rsidR="00871DEE" w:rsidRPr="00D5732F">
          <w:rPr>
            <w:rStyle w:val="Hyperlink"/>
            <w:noProof/>
          </w:rPr>
          <w:t>2.12.6</w:t>
        </w:r>
        <w:r w:rsidR="00871DEE">
          <w:rPr>
            <w:rFonts w:asciiTheme="minorHAnsi" w:hAnsiTheme="minorHAnsi" w:cstheme="minorBidi"/>
            <w:smallCaps w:val="0"/>
            <w:noProof/>
            <w:color w:val="auto"/>
            <w:sz w:val="22"/>
            <w:lang w:val="de-DE" w:eastAsia="de-DE"/>
          </w:rPr>
          <w:tab/>
        </w:r>
        <w:r w:rsidR="00871DEE" w:rsidRPr="00D5732F">
          <w:rPr>
            <w:rStyle w:val="Hyperlink"/>
            <w:noProof/>
          </w:rPr>
          <w:t>Feldversuch 2017</w:t>
        </w:r>
        <w:r w:rsidR="00871DEE">
          <w:rPr>
            <w:noProof/>
            <w:webHidden/>
          </w:rPr>
          <w:tab/>
        </w:r>
        <w:r w:rsidR="00871DEE">
          <w:rPr>
            <w:noProof/>
            <w:webHidden/>
          </w:rPr>
          <w:fldChar w:fldCharType="begin"/>
        </w:r>
        <w:r w:rsidR="00871DEE">
          <w:rPr>
            <w:noProof/>
            <w:webHidden/>
          </w:rPr>
          <w:instrText xml:space="preserve"> PAGEREF _Toc7715579 \h </w:instrText>
        </w:r>
        <w:r w:rsidR="00871DEE">
          <w:rPr>
            <w:noProof/>
            <w:webHidden/>
          </w:rPr>
        </w:r>
        <w:r w:rsidR="00871DEE">
          <w:rPr>
            <w:noProof/>
            <w:webHidden/>
          </w:rPr>
          <w:fldChar w:fldCharType="separate"/>
        </w:r>
        <w:r w:rsidR="00871DEE">
          <w:rPr>
            <w:noProof/>
            <w:webHidden/>
          </w:rPr>
          <w:t>35</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580" w:history="1">
        <w:r w:rsidR="00871DEE" w:rsidRPr="00D5732F">
          <w:rPr>
            <w:rStyle w:val="Hyperlink"/>
            <w:noProof/>
          </w:rPr>
          <w:t>2.12.7</w:t>
        </w:r>
        <w:r w:rsidR="00871DEE">
          <w:rPr>
            <w:rFonts w:asciiTheme="minorHAnsi" w:hAnsiTheme="minorHAnsi" w:cstheme="minorBidi"/>
            <w:smallCaps w:val="0"/>
            <w:noProof/>
            <w:color w:val="auto"/>
            <w:sz w:val="22"/>
            <w:lang w:val="de-DE" w:eastAsia="de-DE"/>
          </w:rPr>
          <w:tab/>
        </w:r>
        <w:r w:rsidR="00871DEE" w:rsidRPr="00D5732F">
          <w:rPr>
            <w:rStyle w:val="Hyperlink"/>
            <w:noProof/>
          </w:rPr>
          <w:t>Datenerhebung mittels Fragebogen</w:t>
        </w:r>
        <w:r w:rsidR="00871DEE">
          <w:rPr>
            <w:noProof/>
            <w:webHidden/>
          </w:rPr>
          <w:tab/>
        </w:r>
        <w:r w:rsidR="00871DEE">
          <w:rPr>
            <w:noProof/>
            <w:webHidden/>
          </w:rPr>
          <w:fldChar w:fldCharType="begin"/>
        </w:r>
        <w:r w:rsidR="00871DEE">
          <w:rPr>
            <w:noProof/>
            <w:webHidden/>
          </w:rPr>
          <w:instrText xml:space="preserve"> PAGEREF _Toc7715580 \h </w:instrText>
        </w:r>
        <w:r w:rsidR="00871DEE">
          <w:rPr>
            <w:noProof/>
            <w:webHidden/>
          </w:rPr>
        </w:r>
        <w:r w:rsidR="00871DEE">
          <w:rPr>
            <w:noProof/>
            <w:webHidden/>
          </w:rPr>
          <w:fldChar w:fldCharType="separate"/>
        </w:r>
        <w:r w:rsidR="00871DEE">
          <w:rPr>
            <w:noProof/>
            <w:webHidden/>
          </w:rPr>
          <w:t>35</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581" w:history="1">
        <w:r w:rsidR="00871DEE" w:rsidRPr="00D5732F">
          <w:rPr>
            <w:rStyle w:val="Hyperlink"/>
            <w:noProof/>
          </w:rPr>
          <w:t>2.12.8</w:t>
        </w:r>
        <w:r w:rsidR="00871DEE">
          <w:rPr>
            <w:rFonts w:asciiTheme="minorHAnsi" w:hAnsiTheme="minorHAnsi" w:cstheme="minorBidi"/>
            <w:smallCaps w:val="0"/>
            <w:noProof/>
            <w:color w:val="auto"/>
            <w:sz w:val="22"/>
            <w:lang w:val="de-DE" w:eastAsia="de-DE"/>
          </w:rPr>
          <w:tab/>
        </w:r>
        <w:r w:rsidR="00871DEE" w:rsidRPr="00D5732F">
          <w:rPr>
            <w:rStyle w:val="Hyperlink"/>
            <w:noProof/>
          </w:rPr>
          <w:t>Statistischen Analyse</w:t>
        </w:r>
        <w:r w:rsidR="00871DEE">
          <w:rPr>
            <w:noProof/>
            <w:webHidden/>
          </w:rPr>
          <w:tab/>
        </w:r>
        <w:r w:rsidR="00871DEE">
          <w:rPr>
            <w:noProof/>
            <w:webHidden/>
          </w:rPr>
          <w:fldChar w:fldCharType="begin"/>
        </w:r>
        <w:r w:rsidR="00871DEE">
          <w:rPr>
            <w:noProof/>
            <w:webHidden/>
          </w:rPr>
          <w:instrText xml:space="preserve"> PAGEREF _Toc7715581 \h </w:instrText>
        </w:r>
        <w:r w:rsidR="00871DEE">
          <w:rPr>
            <w:noProof/>
            <w:webHidden/>
          </w:rPr>
        </w:r>
        <w:r w:rsidR="00871DEE">
          <w:rPr>
            <w:noProof/>
            <w:webHidden/>
          </w:rPr>
          <w:fldChar w:fldCharType="separate"/>
        </w:r>
        <w:r w:rsidR="00871DEE">
          <w:rPr>
            <w:noProof/>
            <w:webHidden/>
          </w:rPr>
          <w:t>35</w:t>
        </w:r>
        <w:r w:rsidR="00871DEE">
          <w:rPr>
            <w:noProof/>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582" w:history="1">
        <w:r w:rsidR="00871DEE" w:rsidRPr="00D5732F">
          <w:rPr>
            <w:rStyle w:val="Hyperlink"/>
          </w:rPr>
          <w:t>2.13</w:t>
        </w:r>
        <w:r w:rsidR="00871DEE">
          <w:rPr>
            <w:rFonts w:asciiTheme="minorHAnsi" w:hAnsiTheme="minorHAnsi" w:cstheme="minorBidi"/>
            <w:caps w:val="0"/>
            <w:color w:val="auto"/>
            <w:sz w:val="22"/>
            <w:szCs w:val="22"/>
            <w:lang w:val="de-DE" w:eastAsia="de-DE"/>
          </w:rPr>
          <w:tab/>
        </w:r>
        <w:r w:rsidR="00871DEE" w:rsidRPr="00D5732F">
          <w:rPr>
            <w:rStyle w:val="Hyperlink"/>
          </w:rPr>
          <w:t>Ergebnisse und INterpretation</w:t>
        </w:r>
        <w:r w:rsidR="00871DEE">
          <w:rPr>
            <w:webHidden/>
          </w:rPr>
          <w:tab/>
        </w:r>
        <w:r w:rsidR="00871DEE">
          <w:rPr>
            <w:webHidden/>
          </w:rPr>
          <w:fldChar w:fldCharType="begin"/>
        </w:r>
        <w:r w:rsidR="00871DEE">
          <w:rPr>
            <w:webHidden/>
          </w:rPr>
          <w:instrText xml:space="preserve"> PAGEREF _Toc7715582 \h </w:instrText>
        </w:r>
        <w:r w:rsidR="00871DEE">
          <w:rPr>
            <w:webHidden/>
          </w:rPr>
        </w:r>
        <w:r w:rsidR="00871DEE">
          <w:rPr>
            <w:webHidden/>
          </w:rPr>
          <w:fldChar w:fldCharType="separate"/>
        </w:r>
        <w:r w:rsidR="00871DEE">
          <w:rPr>
            <w:webHidden/>
          </w:rPr>
          <w:t>35</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583" w:history="1">
        <w:r w:rsidR="00871DEE" w:rsidRPr="00D5732F">
          <w:rPr>
            <w:rStyle w:val="Hyperlink"/>
            <w:noProof/>
          </w:rPr>
          <w:t>2.13.1</w:t>
        </w:r>
        <w:r w:rsidR="00871DEE">
          <w:rPr>
            <w:rFonts w:asciiTheme="minorHAnsi" w:hAnsiTheme="minorHAnsi" w:cstheme="minorBidi"/>
            <w:smallCaps w:val="0"/>
            <w:noProof/>
            <w:color w:val="auto"/>
            <w:sz w:val="22"/>
            <w:lang w:val="de-DE" w:eastAsia="de-DE"/>
          </w:rPr>
          <w:tab/>
        </w:r>
        <w:r w:rsidR="00871DEE" w:rsidRPr="00D5732F">
          <w:rPr>
            <w:rStyle w:val="Hyperlink"/>
            <w:noProof/>
          </w:rPr>
          <w:t>Virulenz und Persistenz ausgebrachter insektenpathogener Nematoden im Boden</w:t>
        </w:r>
        <w:r w:rsidR="00871DEE">
          <w:rPr>
            <w:noProof/>
            <w:webHidden/>
          </w:rPr>
          <w:tab/>
        </w:r>
        <w:r w:rsidR="00871DEE">
          <w:rPr>
            <w:noProof/>
            <w:webHidden/>
          </w:rPr>
          <w:fldChar w:fldCharType="begin"/>
        </w:r>
        <w:r w:rsidR="00871DEE">
          <w:rPr>
            <w:noProof/>
            <w:webHidden/>
          </w:rPr>
          <w:instrText xml:space="preserve"> PAGEREF _Toc7715583 \h </w:instrText>
        </w:r>
        <w:r w:rsidR="00871DEE">
          <w:rPr>
            <w:noProof/>
            <w:webHidden/>
          </w:rPr>
        </w:r>
        <w:r w:rsidR="00871DEE">
          <w:rPr>
            <w:noProof/>
            <w:webHidden/>
          </w:rPr>
          <w:fldChar w:fldCharType="separate"/>
        </w:r>
        <w:r w:rsidR="00871DEE">
          <w:rPr>
            <w:noProof/>
            <w:webHidden/>
          </w:rPr>
          <w:t>35</w:t>
        </w:r>
        <w:r w:rsidR="00871DEE">
          <w:rPr>
            <w:noProof/>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584" w:history="1">
        <w:r w:rsidR="00871DEE" w:rsidRPr="00D5732F">
          <w:rPr>
            <w:rStyle w:val="Hyperlink"/>
          </w:rPr>
          <w:t>2.13.1.1</w:t>
        </w:r>
        <w:r w:rsidR="00871DEE">
          <w:rPr>
            <w:rFonts w:asciiTheme="minorHAnsi" w:hAnsiTheme="minorHAnsi" w:cstheme="minorBidi"/>
            <w:color w:val="auto"/>
            <w:sz w:val="22"/>
            <w:szCs w:val="22"/>
            <w:lang w:val="de-DE" w:eastAsia="de-DE"/>
          </w:rPr>
          <w:tab/>
        </w:r>
        <w:r w:rsidR="00871DEE" w:rsidRPr="00D5732F">
          <w:rPr>
            <w:rStyle w:val="Hyperlink"/>
          </w:rPr>
          <w:t>Feldversuch 2017</w:t>
        </w:r>
        <w:r w:rsidR="00871DEE">
          <w:rPr>
            <w:webHidden/>
          </w:rPr>
          <w:tab/>
        </w:r>
        <w:r w:rsidR="00871DEE">
          <w:rPr>
            <w:webHidden/>
          </w:rPr>
          <w:fldChar w:fldCharType="begin"/>
        </w:r>
        <w:r w:rsidR="00871DEE">
          <w:rPr>
            <w:webHidden/>
          </w:rPr>
          <w:instrText xml:space="preserve"> PAGEREF _Toc7715584 \h </w:instrText>
        </w:r>
        <w:r w:rsidR="00871DEE">
          <w:rPr>
            <w:webHidden/>
          </w:rPr>
        </w:r>
        <w:r w:rsidR="00871DEE">
          <w:rPr>
            <w:webHidden/>
          </w:rPr>
          <w:fldChar w:fldCharType="separate"/>
        </w:r>
        <w:r w:rsidR="00871DEE">
          <w:rPr>
            <w:webHidden/>
          </w:rPr>
          <w:t>35</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585" w:history="1">
        <w:r w:rsidR="00871DEE" w:rsidRPr="00D5732F">
          <w:rPr>
            <w:rStyle w:val="Hyperlink"/>
            <w:noProof/>
          </w:rPr>
          <w:t>2.13.2</w:t>
        </w:r>
        <w:r w:rsidR="00871DEE">
          <w:rPr>
            <w:rFonts w:asciiTheme="minorHAnsi" w:hAnsiTheme="minorHAnsi" w:cstheme="minorBidi"/>
            <w:smallCaps w:val="0"/>
            <w:noProof/>
            <w:color w:val="auto"/>
            <w:sz w:val="22"/>
            <w:lang w:val="de-DE" w:eastAsia="de-DE"/>
          </w:rPr>
          <w:tab/>
        </w:r>
        <w:r w:rsidR="00871DEE" w:rsidRPr="00D5732F">
          <w:rPr>
            <w:rStyle w:val="Hyperlink"/>
            <w:noProof/>
          </w:rPr>
          <w:t>Vergleich unterschiedlicher Auswertungsmethoden des Käferschlupfes bzw. des Schadbildes im Feld</w:t>
        </w:r>
        <w:r w:rsidR="00871DEE">
          <w:rPr>
            <w:noProof/>
            <w:webHidden/>
          </w:rPr>
          <w:tab/>
        </w:r>
        <w:r w:rsidR="00871DEE">
          <w:rPr>
            <w:noProof/>
            <w:webHidden/>
          </w:rPr>
          <w:fldChar w:fldCharType="begin"/>
        </w:r>
        <w:r w:rsidR="00871DEE">
          <w:rPr>
            <w:noProof/>
            <w:webHidden/>
          </w:rPr>
          <w:instrText xml:space="preserve"> PAGEREF _Toc7715585 \h </w:instrText>
        </w:r>
        <w:r w:rsidR="00871DEE">
          <w:rPr>
            <w:noProof/>
            <w:webHidden/>
          </w:rPr>
        </w:r>
        <w:r w:rsidR="00871DEE">
          <w:rPr>
            <w:noProof/>
            <w:webHidden/>
          </w:rPr>
          <w:fldChar w:fldCharType="separate"/>
        </w:r>
        <w:r w:rsidR="00871DEE">
          <w:rPr>
            <w:noProof/>
            <w:webHidden/>
          </w:rPr>
          <w:t>37</w:t>
        </w:r>
        <w:r w:rsidR="00871DEE">
          <w:rPr>
            <w:noProof/>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586" w:history="1">
        <w:r w:rsidR="00871DEE" w:rsidRPr="00D5732F">
          <w:rPr>
            <w:rStyle w:val="Hyperlink"/>
          </w:rPr>
          <w:t>2.13.2.1</w:t>
        </w:r>
        <w:r w:rsidR="00871DEE">
          <w:rPr>
            <w:rFonts w:asciiTheme="minorHAnsi" w:hAnsiTheme="minorHAnsi" w:cstheme="minorBidi"/>
            <w:color w:val="auto"/>
            <w:sz w:val="22"/>
            <w:szCs w:val="22"/>
            <w:lang w:val="de-DE" w:eastAsia="de-DE"/>
          </w:rPr>
          <w:tab/>
        </w:r>
        <w:r w:rsidR="00871DEE" w:rsidRPr="00D5732F">
          <w:rPr>
            <w:rStyle w:val="Hyperlink"/>
          </w:rPr>
          <w:t>Methodenvergleich 2016</w:t>
        </w:r>
        <w:r w:rsidR="00871DEE">
          <w:rPr>
            <w:webHidden/>
          </w:rPr>
          <w:tab/>
        </w:r>
        <w:r w:rsidR="00871DEE">
          <w:rPr>
            <w:webHidden/>
          </w:rPr>
          <w:fldChar w:fldCharType="begin"/>
        </w:r>
        <w:r w:rsidR="00871DEE">
          <w:rPr>
            <w:webHidden/>
          </w:rPr>
          <w:instrText xml:space="preserve"> PAGEREF _Toc7715586 \h </w:instrText>
        </w:r>
        <w:r w:rsidR="00871DEE">
          <w:rPr>
            <w:webHidden/>
          </w:rPr>
        </w:r>
        <w:r w:rsidR="00871DEE">
          <w:rPr>
            <w:webHidden/>
          </w:rPr>
          <w:fldChar w:fldCharType="separate"/>
        </w:r>
        <w:r w:rsidR="00871DEE">
          <w:rPr>
            <w:webHidden/>
          </w:rPr>
          <w:t>37</w:t>
        </w:r>
        <w:r w:rsidR="00871DEE">
          <w:rPr>
            <w:webHidden/>
          </w:rPr>
          <w:fldChar w:fldCharType="end"/>
        </w:r>
      </w:hyperlink>
    </w:p>
    <w:p w:rsidR="00871DEE" w:rsidRDefault="00ED396A">
      <w:pPr>
        <w:pStyle w:val="Verzeichnis5"/>
        <w:rPr>
          <w:rFonts w:asciiTheme="minorHAnsi" w:hAnsiTheme="minorHAnsi" w:cstheme="minorBidi"/>
          <w:color w:val="auto"/>
          <w:sz w:val="22"/>
          <w:szCs w:val="22"/>
          <w:lang w:val="de-DE" w:eastAsia="de-DE"/>
        </w:rPr>
      </w:pPr>
      <w:hyperlink w:anchor="_Toc7715587" w:history="1">
        <w:r w:rsidR="00871DEE" w:rsidRPr="00D5732F">
          <w:rPr>
            <w:rStyle w:val="Hyperlink"/>
          </w:rPr>
          <w:t>2.13.2.1.1</w:t>
        </w:r>
        <w:r w:rsidR="00871DEE">
          <w:rPr>
            <w:rFonts w:asciiTheme="minorHAnsi" w:hAnsiTheme="minorHAnsi" w:cstheme="minorBidi"/>
            <w:color w:val="auto"/>
            <w:sz w:val="22"/>
            <w:szCs w:val="22"/>
            <w:lang w:val="de-DE" w:eastAsia="de-DE"/>
          </w:rPr>
          <w:tab/>
        </w:r>
        <w:r w:rsidR="00871DEE" w:rsidRPr="00D5732F">
          <w:rPr>
            <w:rStyle w:val="Hyperlink"/>
          </w:rPr>
          <w:t>Photoeklektoren</w:t>
        </w:r>
        <w:r w:rsidR="00871DEE">
          <w:rPr>
            <w:webHidden/>
          </w:rPr>
          <w:tab/>
        </w:r>
        <w:r w:rsidR="00871DEE">
          <w:rPr>
            <w:webHidden/>
          </w:rPr>
          <w:fldChar w:fldCharType="begin"/>
        </w:r>
        <w:r w:rsidR="00871DEE">
          <w:rPr>
            <w:webHidden/>
          </w:rPr>
          <w:instrText xml:space="preserve"> PAGEREF _Toc7715587 \h </w:instrText>
        </w:r>
        <w:r w:rsidR="00871DEE">
          <w:rPr>
            <w:webHidden/>
          </w:rPr>
        </w:r>
        <w:r w:rsidR="00871DEE">
          <w:rPr>
            <w:webHidden/>
          </w:rPr>
          <w:fldChar w:fldCharType="separate"/>
        </w:r>
        <w:r w:rsidR="00871DEE">
          <w:rPr>
            <w:webHidden/>
          </w:rPr>
          <w:t>37</w:t>
        </w:r>
        <w:r w:rsidR="00871DEE">
          <w:rPr>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588" w:history="1">
        <w:r w:rsidR="00871DEE" w:rsidRPr="00D5732F">
          <w:rPr>
            <w:rStyle w:val="Hyperlink"/>
          </w:rPr>
          <w:t>2.13.2.2</w:t>
        </w:r>
        <w:r w:rsidR="00871DEE">
          <w:rPr>
            <w:rFonts w:asciiTheme="minorHAnsi" w:hAnsiTheme="minorHAnsi" w:cstheme="minorBidi"/>
            <w:color w:val="auto"/>
            <w:sz w:val="22"/>
            <w:szCs w:val="22"/>
            <w:lang w:val="de-DE" w:eastAsia="de-DE"/>
          </w:rPr>
          <w:tab/>
        </w:r>
        <w:r w:rsidR="00871DEE" w:rsidRPr="00D5732F">
          <w:rPr>
            <w:rStyle w:val="Hyperlink"/>
          </w:rPr>
          <w:t>Fangtafeln</w:t>
        </w:r>
        <w:r w:rsidR="00871DEE">
          <w:rPr>
            <w:webHidden/>
          </w:rPr>
          <w:tab/>
        </w:r>
        <w:r w:rsidR="00871DEE">
          <w:rPr>
            <w:webHidden/>
          </w:rPr>
          <w:fldChar w:fldCharType="begin"/>
        </w:r>
        <w:r w:rsidR="00871DEE">
          <w:rPr>
            <w:webHidden/>
          </w:rPr>
          <w:instrText xml:space="preserve"> PAGEREF _Toc7715588 \h </w:instrText>
        </w:r>
        <w:r w:rsidR="00871DEE">
          <w:rPr>
            <w:webHidden/>
          </w:rPr>
        </w:r>
        <w:r w:rsidR="00871DEE">
          <w:rPr>
            <w:webHidden/>
          </w:rPr>
          <w:fldChar w:fldCharType="separate"/>
        </w:r>
        <w:r w:rsidR="00871DEE">
          <w:rPr>
            <w:webHidden/>
          </w:rPr>
          <w:t>38</w:t>
        </w:r>
        <w:r w:rsidR="00871DEE">
          <w:rPr>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589" w:history="1">
        <w:r w:rsidR="00871DEE" w:rsidRPr="00D5732F">
          <w:rPr>
            <w:rStyle w:val="Hyperlink"/>
          </w:rPr>
          <w:t>2.13.2.1</w:t>
        </w:r>
        <w:r w:rsidR="00871DEE">
          <w:rPr>
            <w:rFonts w:asciiTheme="minorHAnsi" w:hAnsiTheme="minorHAnsi" w:cstheme="minorBidi"/>
            <w:color w:val="auto"/>
            <w:sz w:val="22"/>
            <w:szCs w:val="22"/>
            <w:lang w:val="de-DE" w:eastAsia="de-DE"/>
          </w:rPr>
          <w:tab/>
        </w:r>
        <w:r w:rsidR="00871DEE" w:rsidRPr="00D5732F">
          <w:rPr>
            <w:rStyle w:val="Hyperlink"/>
          </w:rPr>
          <w:t>Trichterfallen</w:t>
        </w:r>
        <w:r w:rsidR="00871DEE">
          <w:rPr>
            <w:webHidden/>
          </w:rPr>
          <w:tab/>
        </w:r>
        <w:r w:rsidR="00871DEE">
          <w:rPr>
            <w:webHidden/>
          </w:rPr>
          <w:fldChar w:fldCharType="begin"/>
        </w:r>
        <w:r w:rsidR="00871DEE">
          <w:rPr>
            <w:webHidden/>
          </w:rPr>
          <w:instrText xml:space="preserve"> PAGEREF _Toc7715589 \h </w:instrText>
        </w:r>
        <w:r w:rsidR="00871DEE">
          <w:rPr>
            <w:webHidden/>
          </w:rPr>
        </w:r>
        <w:r w:rsidR="00871DEE">
          <w:rPr>
            <w:webHidden/>
          </w:rPr>
          <w:fldChar w:fldCharType="separate"/>
        </w:r>
        <w:r w:rsidR="00871DEE">
          <w:rPr>
            <w:webHidden/>
          </w:rPr>
          <w:t>39</w:t>
        </w:r>
        <w:r w:rsidR="00871DEE">
          <w:rPr>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590" w:history="1">
        <w:r w:rsidR="00871DEE" w:rsidRPr="00D5732F">
          <w:rPr>
            <w:rStyle w:val="Hyperlink"/>
          </w:rPr>
          <w:t>2.13.2.2</w:t>
        </w:r>
        <w:r w:rsidR="00871DEE">
          <w:rPr>
            <w:rFonts w:asciiTheme="minorHAnsi" w:hAnsiTheme="minorHAnsi" w:cstheme="minorBidi"/>
            <w:color w:val="auto"/>
            <w:sz w:val="22"/>
            <w:szCs w:val="22"/>
            <w:lang w:val="de-DE" w:eastAsia="de-DE"/>
          </w:rPr>
          <w:tab/>
        </w:r>
        <w:r w:rsidR="00871DEE" w:rsidRPr="00D5732F">
          <w:rPr>
            <w:rStyle w:val="Hyperlink"/>
          </w:rPr>
          <w:t>Käfer pro Pflanze</w:t>
        </w:r>
        <w:r w:rsidR="00871DEE">
          <w:rPr>
            <w:webHidden/>
          </w:rPr>
          <w:tab/>
        </w:r>
        <w:r w:rsidR="00871DEE">
          <w:rPr>
            <w:webHidden/>
          </w:rPr>
          <w:fldChar w:fldCharType="begin"/>
        </w:r>
        <w:r w:rsidR="00871DEE">
          <w:rPr>
            <w:webHidden/>
          </w:rPr>
          <w:instrText xml:space="preserve"> PAGEREF _Toc7715590 \h </w:instrText>
        </w:r>
        <w:r w:rsidR="00871DEE">
          <w:rPr>
            <w:webHidden/>
          </w:rPr>
        </w:r>
        <w:r w:rsidR="00871DEE">
          <w:rPr>
            <w:webHidden/>
          </w:rPr>
          <w:fldChar w:fldCharType="separate"/>
        </w:r>
        <w:r w:rsidR="00871DEE">
          <w:rPr>
            <w:webHidden/>
          </w:rPr>
          <w:t>39</w:t>
        </w:r>
        <w:r w:rsidR="00871DEE">
          <w:rPr>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591" w:history="1">
        <w:r w:rsidR="00871DEE" w:rsidRPr="00D5732F">
          <w:rPr>
            <w:rStyle w:val="Hyperlink"/>
          </w:rPr>
          <w:t>2.13.2.3</w:t>
        </w:r>
        <w:r w:rsidR="00871DEE">
          <w:rPr>
            <w:rFonts w:asciiTheme="minorHAnsi" w:hAnsiTheme="minorHAnsi" w:cstheme="minorBidi"/>
            <w:color w:val="auto"/>
            <w:sz w:val="22"/>
            <w:szCs w:val="22"/>
            <w:lang w:val="de-DE" w:eastAsia="de-DE"/>
          </w:rPr>
          <w:tab/>
        </w:r>
        <w:r w:rsidR="00871DEE" w:rsidRPr="00D5732F">
          <w:rPr>
            <w:rStyle w:val="Hyperlink"/>
          </w:rPr>
          <w:t>Lagerung</w:t>
        </w:r>
        <w:r w:rsidR="00871DEE">
          <w:rPr>
            <w:webHidden/>
          </w:rPr>
          <w:tab/>
        </w:r>
        <w:r w:rsidR="00871DEE">
          <w:rPr>
            <w:webHidden/>
          </w:rPr>
          <w:fldChar w:fldCharType="begin"/>
        </w:r>
        <w:r w:rsidR="00871DEE">
          <w:rPr>
            <w:webHidden/>
          </w:rPr>
          <w:instrText xml:space="preserve"> PAGEREF _Toc7715591 \h </w:instrText>
        </w:r>
        <w:r w:rsidR="00871DEE">
          <w:rPr>
            <w:webHidden/>
          </w:rPr>
        </w:r>
        <w:r w:rsidR="00871DEE">
          <w:rPr>
            <w:webHidden/>
          </w:rPr>
          <w:fldChar w:fldCharType="separate"/>
        </w:r>
        <w:r w:rsidR="00871DEE">
          <w:rPr>
            <w:webHidden/>
          </w:rPr>
          <w:t>40</w:t>
        </w:r>
        <w:r w:rsidR="00871DEE">
          <w:rPr>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592" w:history="1">
        <w:r w:rsidR="00871DEE" w:rsidRPr="00D5732F">
          <w:rPr>
            <w:rStyle w:val="Hyperlink"/>
          </w:rPr>
          <w:t>2.13.2.4</w:t>
        </w:r>
        <w:r w:rsidR="00871DEE">
          <w:rPr>
            <w:rFonts w:asciiTheme="minorHAnsi" w:hAnsiTheme="minorHAnsi" w:cstheme="minorBidi"/>
            <w:color w:val="auto"/>
            <w:sz w:val="22"/>
            <w:szCs w:val="22"/>
            <w:lang w:val="de-DE" w:eastAsia="de-DE"/>
          </w:rPr>
          <w:tab/>
        </w:r>
        <w:r w:rsidR="00871DEE" w:rsidRPr="00D5732F">
          <w:rPr>
            <w:rStyle w:val="Hyperlink"/>
          </w:rPr>
          <w:t>Schabefrass</w:t>
        </w:r>
        <w:r w:rsidR="00871DEE">
          <w:rPr>
            <w:webHidden/>
          </w:rPr>
          <w:tab/>
        </w:r>
        <w:r w:rsidR="00871DEE">
          <w:rPr>
            <w:webHidden/>
          </w:rPr>
          <w:fldChar w:fldCharType="begin"/>
        </w:r>
        <w:r w:rsidR="00871DEE">
          <w:rPr>
            <w:webHidden/>
          </w:rPr>
          <w:instrText xml:space="preserve"> PAGEREF _Toc7715592 \h </w:instrText>
        </w:r>
        <w:r w:rsidR="00871DEE">
          <w:rPr>
            <w:webHidden/>
          </w:rPr>
        </w:r>
        <w:r w:rsidR="00871DEE">
          <w:rPr>
            <w:webHidden/>
          </w:rPr>
          <w:fldChar w:fldCharType="separate"/>
        </w:r>
        <w:r w:rsidR="00871DEE">
          <w:rPr>
            <w:webHidden/>
          </w:rPr>
          <w:t>40</w:t>
        </w:r>
        <w:r w:rsidR="00871DEE">
          <w:rPr>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593" w:history="1">
        <w:r w:rsidR="00871DEE" w:rsidRPr="00D5732F">
          <w:rPr>
            <w:rStyle w:val="Hyperlink"/>
          </w:rPr>
          <w:t>2.13.2.5</w:t>
        </w:r>
        <w:r w:rsidR="00871DEE">
          <w:rPr>
            <w:rFonts w:asciiTheme="minorHAnsi" w:hAnsiTheme="minorHAnsi" w:cstheme="minorBidi"/>
            <w:color w:val="auto"/>
            <w:sz w:val="22"/>
            <w:szCs w:val="22"/>
            <w:lang w:val="de-DE" w:eastAsia="de-DE"/>
          </w:rPr>
          <w:tab/>
        </w:r>
        <w:r w:rsidR="00871DEE" w:rsidRPr="00D5732F">
          <w:rPr>
            <w:rStyle w:val="Hyperlink"/>
          </w:rPr>
          <w:t>Ernteertrag</w:t>
        </w:r>
        <w:r w:rsidR="00871DEE">
          <w:rPr>
            <w:webHidden/>
          </w:rPr>
          <w:tab/>
        </w:r>
        <w:r w:rsidR="00871DEE">
          <w:rPr>
            <w:webHidden/>
          </w:rPr>
          <w:fldChar w:fldCharType="begin"/>
        </w:r>
        <w:r w:rsidR="00871DEE">
          <w:rPr>
            <w:webHidden/>
          </w:rPr>
          <w:instrText xml:space="preserve"> PAGEREF _Toc7715593 \h </w:instrText>
        </w:r>
        <w:r w:rsidR="00871DEE">
          <w:rPr>
            <w:webHidden/>
          </w:rPr>
        </w:r>
        <w:r w:rsidR="00871DEE">
          <w:rPr>
            <w:webHidden/>
          </w:rPr>
          <w:fldChar w:fldCharType="separate"/>
        </w:r>
        <w:r w:rsidR="00871DEE">
          <w:rPr>
            <w:webHidden/>
          </w:rPr>
          <w:t>41</w:t>
        </w:r>
        <w:r w:rsidR="00871DEE">
          <w:rPr>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594" w:history="1">
        <w:r w:rsidR="00871DEE" w:rsidRPr="00D5732F">
          <w:rPr>
            <w:rStyle w:val="Hyperlink"/>
          </w:rPr>
          <w:t>2.13.2.6</w:t>
        </w:r>
        <w:r w:rsidR="00871DEE">
          <w:rPr>
            <w:rFonts w:asciiTheme="minorHAnsi" w:hAnsiTheme="minorHAnsi" w:cstheme="minorBidi"/>
            <w:color w:val="auto"/>
            <w:sz w:val="22"/>
            <w:szCs w:val="22"/>
            <w:lang w:val="de-DE" w:eastAsia="de-DE"/>
          </w:rPr>
          <w:tab/>
        </w:r>
        <w:r w:rsidR="00871DEE" w:rsidRPr="00D5732F">
          <w:rPr>
            <w:rStyle w:val="Hyperlink"/>
          </w:rPr>
          <w:t>Belegfotos</w:t>
        </w:r>
        <w:r w:rsidR="00871DEE">
          <w:rPr>
            <w:webHidden/>
          </w:rPr>
          <w:tab/>
        </w:r>
        <w:r w:rsidR="00871DEE">
          <w:rPr>
            <w:webHidden/>
          </w:rPr>
          <w:fldChar w:fldCharType="begin"/>
        </w:r>
        <w:r w:rsidR="00871DEE">
          <w:rPr>
            <w:webHidden/>
          </w:rPr>
          <w:instrText xml:space="preserve"> PAGEREF _Toc7715594 \h </w:instrText>
        </w:r>
        <w:r w:rsidR="00871DEE">
          <w:rPr>
            <w:webHidden/>
          </w:rPr>
        </w:r>
        <w:r w:rsidR="00871DEE">
          <w:rPr>
            <w:webHidden/>
          </w:rPr>
          <w:fldChar w:fldCharType="separate"/>
        </w:r>
        <w:r w:rsidR="00871DEE">
          <w:rPr>
            <w:webHidden/>
          </w:rPr>
          <w:t>41</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595" w:history="1">
        <w:r w:rsidR="00871DEE" w:rsidRPr="00D5732F">
          <w:rPr>
            <w:rStyle w:val="Hyperlink"/>
            <w:noProof/>
          </w:rPr>
          <w:t>2.13.3</w:t>
        </w:r>
        <w:r w:rsidR="00871DEE">
          <w:rPr>
            <w:rFonts w:asciiTheme="minorHAnsi" w:hAnsiTheme="minorHAnsi" w:cstheme="minorBidi"/>
            <w:smallCaps w:val="0"/>
            <w:noProof/>
            <w:color w:val="auto"/>
            <w:sz w:val="22"/>
            <w:lang w:val="de-DE" w:eastAsia="de-DE"/>
          </w:rPr>
          <w:tab/>
        </w:r>
        <w:r w:rsidR="00871DEE" w:rsidRPr="00D5732F">
          <w:rPr>
            <w:rStyle w:val="Hyperlink"/>
            <w:noProof/>
          </w:rPr>
          <w:t>Methodenvergleich 2017</w:t>
        </w:r>
        <w:r w:rsidR="00871DEE">
          <w:rPr>
            <w:noProof/>
            <w:webHidden/>
          </w:rPr>
          <w:tab/>
        </w:r>
        <w:r w:rsidR="00871DEE">
          <w:rPr>
            <w:noProof/>
            <w:webHidden/>
          </w:rPr>
          <w:fldChar w:fldCharType="begin"/>
        </w:r>
        <w:r w:rsidR="00871DEE">
          <w:rPr>
            <w:noProof/>
            <w:webHidden/>
          </w:rPr>
          <w:instrText xml:space="preserve"> PAGEREF _Toc7715595 \h </w:instrText>
        </w:r>
        <w:r w:rsidR="00871DEE">
          <w:rPr>
            <w:noProof/>
            <w:webHidden/>
          </w:rPr>
        </w:r>
        <w:r w:rsidR="00871DEE">
          <w:rPr>
            <w:noProof/>
            <w:webHidden/>
          </w:rPr>
          <w:fldChar w:fldCharType="separate"/>
        </w:r>
        <w:r w:rsidR="00871DEE">
          <w:rPr>
            <w:noProof/>
            <w:webHidden/>
          </w:rPr>
          <w:t>42</w:t>
        </w:r>
        <w:r w:rsidR="00871DEE">
          <w:rPr>
            <w:noProof/>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596" w:history="1">
        <w:r w:rsidR="00871DEE" w:rsidRPr="00D5732F">
          <w:rPr>
            <w:rStyle w:val="Hyperlink"/>
          </w:rPr>
          <w:t>2.13.3.1</w:t>
        </w:r>
        <w:r w:rsidR="00871DEE">
          <w:rPr>
            <w:rFonts w:asciiTheme="minorHAnsi" w:hAnsiTheme="minorHAnsi" w:cstheme="minorBidi"/>
            <w:color w:val="auto"/>
            <w:sz w:val="22"/>
            <w:szCs w:val="22"/>
            <w:lang w:val="de-DE" w:eastAsia="de-DE"/>
          </w:rPr>
          <w:tab/>
        </w:r>
        <w:r w:rsidR="00871DEE" w:rsidRPr="00D5732F">
          <w:rPr>
            <w:rStyle w:val="Hyperlink"/>
          </w:rPr>
          <w:t>Photeklektor, Fangtafel und Lagerbonitur</w:t>
        </w:r>
        <w:r w:rsidR="00871DEE">
          <w:rPr>
            <w:webHidden/>
          </w:rPr>
          <w:tab/>
        </w:r>
        <w:r w:rsidR="00871DEE">
          <w:rPr>
            <w:webHidden/>
          </w:rPr>
          <w:fldChar w:fldCharType="begin"/>
        </w:r>
        <w:r w:rsidR="00871DEE">
          <w:rPr>
            <w:webHidden/>
          </w:rPr>
          <w:instrText xml:space="preserve"> PAGEREF _Toc7715596 \h </w:instrText>
        </w:r>
        <w:r w:rsidR="00871DEE">
          <w:rPr>
            <w:webHidden/>
          </w:rPr>
        </w:r>
        <w:r w:rsidR="00871DEE">
          <w:rPr>
            <w:webHidden/>
          </w:rPr>
          <w:fldChar w:fldCharType="separate"/>
        </w:r>
        <w:r w:rsidR="00871DEE">
          <w:rPr>
            <w:webHidden/>
          </w:rPr>
          <w:t>42</w:t>
        </w:r>
        <w:r w:rsidR="00871DEE">
          <w:rPr>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597" w:history="1">
        <w:r w:rsidR="00871DEE" w:rsidRPr="00D5732F">
          <w:rPr>
            <w:rStyle w:val="Hyperlink"/>
          </w:rPr>
          <w:t>2.13.3.2</w:t>
        </w:r>
        <w:r w:rsidR="00871DEE">
          <w:rPr>
            <w:rFonts w:asciiTheme="minorHAnsi" w:hAnsiTheme="minorHAnsi" w:cstheme="minorBidi"/>
            <w:color w:val="auto"/>
            <w:sz w:val="22"/>
            <w:szCs w:val="22"/>
            <w:lang w:val="de-DE" w:eastAsia="de-DE"/>
          </w:rPr>
          <w:tab/>
        </w:r>
        <w:r w:rsidR="00871DEE" w:rsidRPr="00D5732F">
          <w:rPr>
            <w:rStyle w:val="Hyperlink"/>
          </w:rPr>
          <w:t>Ernteertrag</w:t>
        </w:r>
        <w:r w:rsidR="00871DEE">
          <w:rPr>
            <w:webHidden/>
          </w:rPr>
          <w:tab/>
        </w:r>
        <w:r w:rsidR="00871DEE">
          <w:rPr>
            <w:webHidden/>
          </w:rPr>
          <w:fldChar w:fldCharType="begin"/>
        </w:r>
        <w:r w:rsidR="00871DEE">
          <w:rPr>
            <w:webHidden/>
          </w:rPr>
          <w:instrText xml:space="preserve"> PAGEREF _Toc7715597 \h </w:instrText>
        </w:r>
        <w:r w:rsidR="00871DEE">
          <w:rPr>
            <w:webHidden/>
          </w:rPr>
        </w:r>
        <w:r w:rsidR="00871DEE">
          <w:rPr>
            <w:webHidden/>
          </w:rPr>
          <w:fldChar w:fldCharType="separate"/>
        </w:r>
        <w:r w:rsidR="00871DEE">
          <w:rPr>
            <w:webHidden/>
          </w:rPr>
          <w:t>45</w:t>
        </w:r>
        <w:r w:rsidR="00871DEE">
          <w:rPr>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598" w:history="1">
        <w:r w:rsidR="00871DEE" w:rsidRPr="00D5732F">
          <w:rPr>
            <w:rStyle w:val="Hyperlink"/>
          </w:rPr>
          <w:t>2.13.3.3</w:t>
        </w:r>
        <w:r w:rsidR="00871DEE">
          <w:rPr>
            <w:rFonts w:asciiTheme="minorHAnsi" w:hAnsiTheme="minorHAnsi" w:cstheme="minorBidi"/>
            <w:color w:val="auto"/>
            <w:sz w:val="22"/>
            <w:szCs w:val="22"/>
            <w:lang w:val="de-DE" w:eastAsia="de-DE"/>
          </w:rPr>
          <w:tab/>
        </w:r>
        <w:r w:rsidR="00871DEE" w:rsidRPr="00D5732F">
          <w:rPr>
            <w:rStyle w:val="Hyperlink"/>
          </w:rPr>
          <w:t>LagerungsSchäden und Käferauftreten in Abhängigkeit von der Bodentemperatur</w:t>
        </w:r>
        <w:r w:rsidR="00871DEE">
          <w:rPr>
            <w:webHidden/>
          </w:rPr>
          <w:tab/>
        </w:r>
        <w:r w:rsidR="00871DEE">
          <w:rPr>
            <w:webHidden/>
          </w:rPr>
          <w:fldChar w:fldCharType="begin"/>
        </w:r>
        <w:r w:rsidR="00871DEE">
          <w:rPr>
            <w:webHidden/>
          </w:rPr>
          <w:instrText xml:space="preserve"> PAGEREF _Toc7715598 \h </w:instrText>
        </w:r>
        <w:r w:rsidR="00871DEE">
          <w:rPr>
            <w:webHidden/>
          </w:rPr>
        </w:r>
        <w:r w:rsidR="00871DEE">
          <w:rPr>
            <w:webHidden/>
          </w:rPr>
          <w:fldChar w:fldCharType="separate"/>
        </w:r>
        <w:r w:rsidR="00871DEE">
          <w:rPr>
            <w:webHidden/>
          </w:rPr>
          <w:t>46</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599" w:history="1">
        <w:r w:rsidR="00871DEE" w:rsidRPr="00D5732F">
          <w:rPr>
            <w:rStyle w:val="Hyperlink"/>
          </w:rPr>
          <w:t>2.14</w:t>
        </w:r>
        <w:r w:rsidR="00871DEE">
          <w:rPr>
            <w:rFonts w:asciiTheme="minorHAnsi" w:hAnsiTheme="minorHAnsi" w:cstheme="minorBidi"/>
            <w:caps w:val="0"/>
            <w:color w:val="auto"/>
            <w:sz w:val="22"/>
            <w:szCs w:val="22"/>
            <w:lang w:val="de-DE" w:eastAsia="de-DE"/>
          </w:rPr>
          <w:tab/>
        </w:r>
        <w:r w:rsidR="00871DEE" w:rsidRPr="00D5732F">
          <w:rPr>
            <w:rStyle w:val="Hyperlink"/>
          </w:rPr>
          <w:t>Datenerhebung mittels Fragebogen</w:t>
        </w:r>
        <w:r w:rsidR="00871DEE">
          <w:rPr>
            <w:webHidden/>
          </w:rPr>
          <w:tab/>
        </w:r>
        <w:r w:rsidR="00871DEE">
          <w:rPr>
            <w:webHidden/>
          </w:rPr>
          <w:fldChar w:fldCharType="begin"/>
        </w:r>
        <w:r w:rsidR="00871DEE">
          <w:rPr>
            <w:webHidden/>
          </w:rPr>
          <w:instrText xml:space="preserve"> PAGEREF _Toc7715599 \h </w:instrText>
        </w:r>
        <w:r w:rsidR="00871DEE">
          <w:rPr>
            <w:webHidden/>
          </w:rPr>
        </w:r>
        <w:r w:rsidR="00871DEE">
          <w:rPr>
            <w:webHidden/>
          </w:rPr>
          <w:fldChar w:fldCharType="separate"/>
        </w:r>
        <w:r w:rsidR="00871DEE">
          <w:rPr>
            <w:webHidden/>
          </w:rPr>
          <w:t>47</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00" w:history="1">
        <w:r w:rsidR="00871DEE" w:rsidRPr="00D5732F">
          <w:rPr>
            <w:rStyle w:val="Hyperlink"/>
            <w:b/>
            <w:bCs/>
          </w:rPr>
          <w:t xml:space="preserve">Der insektenpathogene Pilz </w:t>
        </w:r>
        <w:r w:rsidR="00871DEE" w:rsidRPr="00D5732F">
          <w:rPr>
            <w:rStyle w:val="Hyperlink"/>
            <w:b/>
            <w:bCs/>
            <w:i/>
          </w:rPr>
          <w:t>Lecanicillium lecanii</w:t>
        </w:r>
        <w:r w:rsidR="00871DEE">
          <w:rPr>
            <w:webHidden/>
          </w:rPr>
          <w:tab/>
        </w:r>
        <w:r w:rsidR="00871DEE">
          <w:rPr>
            <w:webHidden/>
          </w:rPr>
          <w:fldChar w:fldCharType="begin"/>
        </w:r>
        <w:r w:rsidR="00871DEE">
          <w:rPr>
            <w:webHidden/>
          </w:rPr>
          <w:instrText xml:space="preserve"> PAGEREF _Toc7715600 \h </w:instrText>
        </w:r>
        <w:r w:rsidR="00871DEE">
          <w:rPr>
            <w:webHidden/>
          </w:rPr>
        </w:r>
        <w:r w:rsidR="00871DEE">
          <w:rPr>
            <w:webHidden/>
          </w:rPr>
          <w:fldChar w:fldCharType="separate"/>
        </w:r>
        <w:r w:rsidR="00871DEE">
          <w:rPr>
            <w:webHidden/>
          </w:rPr>
          <w:t>53</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01" w:history="1">
        <w:r w:rsidR="00871DEE" w:rsidRPr="00D5732F">
          <w:rPr>
            <w:rStyle w:val="Hyperlink"/>
          </w:rPr>
          <w:t>2.15</w:t>
        </w:r>
        <w:r w:rsidR="00871DEE">
          <w:rPr>
            <w:rFonts w:asciiTheme="minorHAnsi" w:hAnsiTheme="minorHAnsi" w:cstheme="minorBidi"/>
            <w:caps w:val="0"/>
            <w:color w:val="auto"/>
            <w:sz w:val="22"/>
            <w:szCs w:val="22"/>
            <w:lang w:val="de-DE" w:eastAsia="de-DE"/>
          </w:rPr>
          <w:tab/>
        </w:r>
        <w:r w:rsidR="00871DEE" w:rsidRPr="00D5732F">
          <w:rPr>
            <w:rStyle w:val="Hyperlink"/>
          </w:rPr>
          <w:t>Laborversuche mit lecanicillium lecanii</w:t>
        </w:r>
        <w:r w:rsidR="00871DEE">
          <w:rPr>
            <w:webHidden/>
          </w:rPr>
          <w:tab/>
        </w:r>
        <w:r w:rsidR="00871DEE">
          <w:rPr>
            <w:webHidden/>
          </w:rPr>
          <w:fldChar w:fldCharType="begin"/>
        </w:r>
        <w:r w:rsidR="00871DEE">
          <w:rPr>
            <w:webHidden/>
          </w:rPr>
          <w:instrText xml:space="preserve"> PAGEREF _Toc7715601 \h </w:instrText>
        </w:r>
        <w:r w:rsidR="00871DEE">
          <w:rPr>
            <w:webHidden/>
          </w:rPr>
        </w:r>
        <w:r w:rsidR="00871DEE">
          <w:rPr>
            <w:webHidden/>
          </w:rPr>
          <w:fldChar w:fldCharType="separate"/>
        </w:r>
        <w:r w:rsidR="00871DEE">
          <w:rPr>
            <w:webHidden/>
          </w:rPr>
          <w:t>53</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02" w:history="1">
        <w:r w:rsidR="00871DEE" w:rsidRPr="00D5732F">
          <w:rPr>
            <w:rStyle w:val="Hyperlink"/>
            <w:noProof/>
          </w:rPr>
          <w:t>2.15.1</w:t>
        </w:r>
        <w:r w:rsidR="00871DEE">
          <w:rPr>
            <w:rFonts w:asciiTheme="minorHAnsi" w:hAnsiTheme="minorHAnsi" w:cstheme="minorBidi"/>
            <w:smallCaps w:val="0"/>
            <w:noProof/>
            <w:color w:val="auto"/>
            <w:sz w:val="22"/>
            <w:lang w:val="de-DE" w:eastAsia="de-DE"/>
          </w:rPr>
          <w:tab/>
        </w:r>
        <w:r w:rsidR="00871DEE" w:rsidRPr="00D5732F">
          <w:rPr>
            <w:rStyle w:val="Hyperlink"/>
            <w:noProof/>
          </w:rPr>
          <w:t>Myzelwachstumsversuche:</w:t>
        </w:r>
        <w:r w:rsidR="00871DEE">
          <w:rPr>
            <w:noProof/>
            <w:webHidden/>
          </w:rPr>
          <w:tab/>
        </w:r>
        <w:r w:rsidR="00871DEE">
          <w:rPr>
            <w:noProof/>
            <w:webHidden/>
          </w:rPr>
          <w:fldChar w:fldCharType="begin"/>
        </w:r>
        <w:r w:rsidR="00871DEE">
          <w:rPr>
            <w:noProof/>
            <w:webHidden/>
          </w:rPr>
          <w:instrText xml:space="preserve"> PAGEREF _Toc7715602 \h </w:instrText>
        </w:r>
        <w:r w:rsidR="00871DEE">
          <w:rPr>
            <w:noProof/>
            <w:webHidden/>
          </w:rPr>
        </w:r>
        <w:r w:rsidR="00871DEE">
          <w:rPr>
            <w:noProof/>
            <w:webHidden/>
          </w:rPr>
          <w:fldChar w:fldCharType="separate"/>
        </w:r>
        <w:r w:rsidR="00871DEE">
          <w:rPr>
            <w:noProof/>
            <w:webHidden/>
          </w:rPr>
          <w:t>54</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03" w:history="1">
        <w:r w:rsidR="00871DEE" w:rsidRPr="00D5732F">
          <w:rPr>
            <w:rStyle w:val="Hyperlink"/>
            <w:noProof/>
          </w:rPr>
          <w:t>2.15.2</w:t>
        </w:r>
        <w:r w:rsidR="00871DEE">
          <w:rPr>
            <w:rFonts w:asciiTheme="minorHAnsi" w:hAnsiTheme="minorHAnsi" w:cstheme="minorBidi"/>
            <w:smallCaps w:val="0"/>
            <w:noProof/>
            <w:color w:val="auto"/>
            <w:sz w:val="22"/>
            <w:lang w:val="de-DE" w:eastAsia="de-DE"/>
          </w:rPr>
          <w:tab/>
        </w:r>
        <w:r w:rsidR="00871DEE" w:rsidRPr="00D5732F">
          <w:rPr>
            <w:rStyle w:val="Hyperlink"/>
            <w:noProof/>
          </w:rPr>
          <w:t>Sporulierungsversuche:</w:t>
        </w:r>
        <w:r w:rsidR="00871DEE">
          <w:rPr>
            <w:noProof/>
            <w:webHidden/>
          </w:rPr>
          <w:tab/>
        </w:r>
        <w:r w:rsidR="00871DEE">
          <w:rPr>
            <w:noProof/>
            <w:webHidden/>
          </w:rPr>
          <w:fldChar w:fldCharType="begin"/>
        </w:r>
        <w:r w:rsidR="00871DEE">
          <w:rPr>
            <w:noProof/>
            <w:webHidden/>
          </w:rPr>
          <w:instrText xml:space="preserve"> PAGEREF _Toc7715603 \h </w:instrText>
        </w:r>
        <w:r w:rsidR="00871DEE">
          <w:rPr>
            <w:noProof/>
            <w:webHidden/>
          </w:rPr>
        </w:r>
        <w:r w:rsidR="00871DEE">
          <w:rPr>
            <w:noProof/>
            <w:webHidden/>
          </w:rPr>
          <w:fldChar w:fldCharType="separate"/>
        </w:r>
        <w:r w:rsidR="00871DEE">
          <w:rPr>
            <w:noProof/>
            <w:webHidden/>
          </w:rPr>
          <w:t>54</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04" w:history="1">
        <w:r w:rsidR="00871DEE" w:rsidRPr="00D5732F">
          <w:rPr>
            <w:rStyle w:val="Hyperlink"/>
            <w:noProof/>
          </w:rPr>
          <w:t>2.15.3</w:t>
        </w:r>
        <w:r w:rsidR="00871DEE">
          <w:rPr>
            <w:rFonts w:asciiTheme="minorHAnsi" w:hAnsiTheme="minorHAnsi" w:cstheme="minorBidi"/>
            <w:smallCaps w:val="0"/>
            <w:noProof/>
            <w:color w:val="auto"/>
            <w:sz w:val="22"/>
            <w:lang w:val="de-DE" w:eastAsia="de-DE"/>
          </w:rPr>
          <w:tab/>
        </w:r>
        <w:r w:rsidR="00871DEE" w:rsidRPr="00D5732F">
          <w:rPr>
            <w:rStyle w:val="Hyperlink"/>
            <w:noProof/>
          </w:rPr>
          <w:t>Sporenkeimungsversuche:</w:t>
        </w:r>
        <w:r w:rsidR="00871DEE">
          <w:rPr>
            <w:noProof/>
            <w:webHidden/>
          </w:rPr>
          <w:tab/>
        </w:r>
        <w:r w:rsidR="00871DEE">
          <w:rPr>
            <w:noProof/>
            <w:webHidden/>
          </w:rPr>
          <w:fldChar w:fldCharType="begin"/>
        </w:r>
        <w:r w:rsidR="00871DEE">
          <w:rPr>
            <w:noProof/>
            <w:webHidden/>
          </w:rPr>
          <w:instrText xml:space="preserve"> PAGEREF _Toc7715604 \h </w:instrText>
        </w:r>
        <w:r w:rsidR="00871DEE">
          <w:rPr>
            <w:noProof/>
            <w:webHidden/>
          </w:rPr>
        </w:r>
        <w:r w:rsidR="00871DEE">
          <w:rPr>
            <w:noProof/>
            <w:webHidden/>
          </w:rPr>
          <w:fldChar w:fldCharType="separate"/>
        </w:r>
        <w:r w:rsidR="00871DEE">
          <w:rPr>
            <w:noProof/>
            <w:webHidden/>
          </w:rPr>
          <w:t>54</w:t>
        </w:r>
        <w:r w:rsidR="00871DEE">
          <w:rPr>
            <w:noProof/>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05" w:history="1">
        <w:r w:rsidR="00871DEE" w:rsidRPr="00D5732F">
          <w:rPr>
            <w:rStyle w:val="Hyperlink"/>
          </w:rPr>
          <w:t>2.16</w:t>
        </w:r>
        <w:r w:rsidR="00871DEE">
          <w:rPr>
            <w:rFonts w:asciiTheme="minorHAnsi" w:hAnsiTheme="minorHAnsi" w:cstheme="minorBidi"/>
            <w:caps w:val="0"/>
            <w:color w:val="auto"/>
            <w:sz w:val="22"/>
            <w:szCs w:val="22"/>
            <w:lang w:val="de-DE" w:eastAsia="de-DE"/>
          </w:rPr>
          <w:tab/>
        </w:r>
        <w:r w:rsidR="00871DEE" w:rsidRPr="00D5732F">
          <w:rPr>
            <w:rStyle w:val="Hyperlink"/>
          </w:rPr>
          <w:t>freilandversuche mit lecanicillium lecanii</w:t>
        </w:r>
        <w:r w:rsidR="00871DEE">
          <w:rPr>
            <w:webHidden/>
          </w:rPr>
          <w:tab/>
        </w:r>
        <w:r w:rsidR="00871DEE">
          <w:rPr>
            <w:webHidden/>
          </w:rPr>
          <w:fldChar w:fldCharType="begin"/>
        </w:r>
        <w:r w:rsidR="00871DEE">
          <w:rPr>
            <w:webHidden/>
          </w:rPr>
          <w:instrText xml:space="preserve"> PAGEREF _Toc7715605 \h </w:instrText>
        </w:r>
        <w:r w:rsidR="00871DEE">
          <w:rPr>
            <w:webHidden/>
          </w:rPr>
        </w:r>
        <w:r w:rsidR="00871DEE">
          <w:rPr>
            <w:webHidden/>
          </w:rPr>
          <w:fldChar w:fldCharType="separate"/>
        </w:r>
        <w:r w:rsidR="00871DEE">
          <w:rPr>
            <w:webHidden/>
          </w:rPr>
          <w:t>55</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06" w:history="1">
        <w:r w:rsidR="00871DEE" w:rsidRPr="00D5732F">
          <w:rPr>
            <w:rStyle w:val="Hyperlink"/>
            <w:noProof/>
          </w:rPr>
          <w:t>2.16.1</w:t>
        </w:r>
        <w:r w:rsidR="00871DEE">
          <w:rPr>
            <w:rFonts w:asciiTheme="minorHAnsi" w:hAnsiTheme="minorHAnsi" w:cstheme="minorBidi"/>
            <w:smallCaps w:val="0"/>
            <w:noProof/>
            <w:color w:val="auto"/>
            <w:sz w:val="22"/>
            <w:lang w:val="de-DE" w:eastAsia="de-DE"/>
          </w:rPr>
          <w:tab/>
        </w:r>
        <w:r w:rsidR="00871DEE" w:rsidRPr="00D5732F">
          <w:rPr>
            <w:rStyle w:val="Hyperlink"/>
            <w:noProof/>
          </w:rPr>
          <w:t>versuche an 3 standorten in der steiermark</w:t>
        </w:r>
        <w:r w:rsidR="00871DEE">
          <w:rPr>
            <w:noProof/>
            <w:webHidden/>
          </w:rPr>
          <w:tab/>
        </w:r>
        <w:r w:rsidR="00871DEE">
          <w:rPr>
            <w:noProof/>
            <w:webHidden/>
          </w:rPr>
          <w:fldChar w:fldCharType="begin"/>
        </w:r>
        <w:r w:rsidR="00871DEE">
          <w:rPr>
            <w:noProof/>
            <w:webHidden/>
          </w:rPr>
          <w:instrText xml:space="preserve"> PAGEREF _Toc7715606 \h </w:instrText>
        </w:r>
        <w:r w:rsidR="00871DEE">
          <w:rPr>
            <w:noProof/>
            <w:webHidden/>
          </w:rPr>
        </w:r>
        <w:r w:rsidR="00871DEE">
          <w:rPr>
            <w:noProof/>
            <w:webHidden/>
          </w:rPr>
          <w:fldChar w:fldCharType="separate"/>
        </w:r>
        <w:r w:rsidR="00871DEE">
          <w:rPr>
            <w:noProof/>
            <w:webHidden/>
          </w:rPr>
          <w:t>56</w:t>
        </w:r>
        <w:r w:rsidR="00871DEE">
          <w:rPr>
            <w:noProof/>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607" w:history="1">
        <w:r w:rsidR="00871DEE" w:rsidRPr="00D5732F">
          <w:rPr>
            <w:rStyle w:val="Hyperlink"/>
          </w:rPr>
          <w:t>2.16.1.1</w:t>
        </w:r>
        <w:r w:rsidR="00871DEE">
          <w:rPr>
            <w:rFonts w:asciiTheme="minorHAnsi" w:hAnsiTheme="minorHAnsi" w:cstheme="minorBidi"/>
            <w:color w:val="auto"/>
            <w:sz w:val="22"/>
            <w:szCs w:val="22"/>
            <w:lang w:val="de-DE" w:eastAsia="de-DE"/>
          </w:rPr>
          <w:tab/>
        </w:r>
        <w:r w:rsidR="00871DEE" w:rsidRPr="00D5732F">
          <w:rPr>
            <w:rStyle w:val="Hyperlink"/>
          </w:rPr>
          <w:t>versuchsfläche St. Margarethen im Raabtal</w:t>
        </w:r>
        <w:r w:rsidR="00871DEE">
          <w:rPr>
            <w:webHidden/>
          </w:rPr>
          <w:tab/>
        </w:r>
        <w:r w:rsidR="00871DEE">
          <w:rPr>
            <w:webHidden/>
          </w:rPr>
          <w:fldChar w:fldCharType="begin"/>
        </w:r>
        <w:r w:rsidR="00871DEE">
          <w:rPr>
            <w:webHidden/>
          </w:rPr>
          <w:instrText xml:space="preserve"> PAGEREF _Toc7715607 \h </w:instrText>
        </w:r>
        <w:r w:rsidR="00871DEE">
          <w:rPr>
            <w:webHidden/>
          </w:rPr>
        </w:r>
        <w:r w:rsidR="00871DEE">
          <w:rPr>
            <w:webHidden/>
          </w:rPr>
          <w:fldChar w:fldCharType="separate"/>
        </w:r>
        <w:r w:rsidR="00871DEE">
          <w:rPr>
            <w:webHidden/>
          </w:rPr>
          <w:t>56</w:t>
        </w:r>
        <w:r w:rsidR="00871DEE">
          <w:rPr>
            <w:webHidden/>
          </w:rPr>
          <w:fldChar w:fldCharType="end"/>
        </w:r>
      </w:hyperlink>
    </w:p>
    <w:p w:rsidR="00871DEE" w:rsidRDefault="00ED396A">
      <w:pPr>
        <w:pStyle w:val="Verzeichnis5"/>
        <w:rPr>
          <w:rFonts w:asciiTheme="minorHAnsi" w:hAnsiTheme="minorHAnsi" w:cstheme="minorBidi"/>
          <w:color w:val="auto"/>
          <w:sz w:val="22"/>
          <w:szCs w:val="22"/>
          <w:lang w:val="de-DE" w:eastAsia="de-DE"/>
        </w:rPr>
      </w:pPr>
      <w:hyperlink w:anchor="_Toc7715608" w:history="1">
        <w:r w:rsidR="00871DEE" w:rsidRPr="00D5732F">
          <w:rPr>
            <w:rStyle w:val="Hyperlink"/>
          </w:rPr>
          <w:t>2.16.1.1.1</w:t>
        </w:r>
        <w:r w:rsidR="00871DEE">
          <w:rPr>
            <w:rFonts w:asciiTheme="minorHAnsi" w:hAnsiTheme="minorHAnsi" w:cstheme="minorBidi"/>
            <w:color w:val="auto"/>
            <w:sz w:val="22"/>
            <w:szCs w:val="22"/>
            <w:lang w:val="de-DE" w:eastAsia="de-DE"/>
          </w:rPr>
          <w:tab/>
        </w:r>
        <w:r w:rsidR="00871DEE" w:rsidRPr="00D5732F">
          <w:rPr>
            <w:rStyle w:val="Hyperlink"/>
          </w:rPr>
          <w:t>Seibersdorf bei St. Veit</w:t>
        </w:r>
        <w:r w:rsidR="00871DEE">
          <w:rPr>
            <w:webHidden/>
          </w:rPr>
          <w:tab/>
        </w:r>
        <w:r w:rsidR="00871DEE">
          <w:rPr>
            <w:webHidden/>
          </w:rPr>
          <w:fldChar w:fldCharType="begin"/>
        </w:r>
        <w:r w:rsidR="00871DEE">
          <w:rPr>
            <w:webHidden/>
          </w:rPr>
          <w:instrText xml:space="preserve"> PAGEREF _Toc7715608 \h </w:instrText>
        </w:r>
        <w:r w:rsidR="00871DEE">
          <w:rPr>
            <w:webHidden/>
          </w:rPr>
        </w:r>
        <w:r w:rsidR="00871DEE">
          <w:rPr>
            <w:webHidden/>
          </w:rPr>
          <w:fldChar w:fldCharType="separate"/>
        </w:r>
        <w:r w:rsidR="00871DEE">
          <w:rPr>
            <w:webHidden/>
          </w:rPr>
          <w:t>58</w:t>
        </w:r>
        <w:r w:rsidR="00871DEE">
          <w:rPr>
            <w:webHidden/>
          </w:rPr>
          <w:fldChar w:fldCharType="end"/>
        </w:r>
      </w:hyperlink>
    </w:p>
    <w:p w:rsidR="00871DEE" w:rsidRDefault="00ED396A">
      <w:pPr>
        <w:pStyle w:val="Verzeichnis5"/>
        <w:rPr>
          <w:rFonts w:asciiTheme="minorHAnsi" w:hAnsiTheme="minorHAnsi" w:cstheme="minorBidi"/>
          <w:color w:val="auto"/>
          <w:sz w:val="22"/>
          <w:szCs w:val="22"/>
          <w:lang w:val="de-DE" w:eastAsia="de-DE"/>
        </w:rPr>
      </w:pPr>
      <w:hyperlink w:anchor="_Toc7715609" w:history="1">
        <w:r w:rsidR="00871DEE" w:rsidRPr="00D5732F">
          <w:rPr>
            <w:rStyle w:val="Hyperlink"/>
          </w:rPr>
          <w:t>2.16.1.1.2</w:t>
        </w:r>
        <w:r w:rsidR="00871DEE">
          <w:rPr>
            <w:rFonts w:asciiTheme="minorHAnsi" w:hAnsiTheme="minorHAnsi" w:cstheme="minorBidi"/>
            <w:color w:val="auto"/>
            <w:sz w:val="22"/>
            <w:szCs w:val="22"/>
            <w:lang w:val="de-DE" w:eastAsia="de-DE"/>
          </w:rPr>
          <w:tab/>
        </w:r>
        <w:r w:rsidR="00871DEE" w:rsidRPr="00D5732F">
          <w:rPr>
            <w:rStyle w:val="Hyperlink"/>
          </w:rPr>
          <w:t>Donnersdorf</w:t>
        </w:r>
        <w:r w:rsidR="00871DEE">
          <w:rPr>
            <w:webHidden/>
          </w:rPr>
          <w:tab/>
        </w:r>
        <w:r w:rsidR="00871DEE">
          <w:rPr>
            <w:webHidden/>
          </w:rPr>
          <w:fldChar w:fldCharType="begin"/>
        </w:r>
        <w:r w:rsidR="00871DEE">
          <w:rPr>
            <w:webHidden/>
          </w:rPr>
          <w:instrText xml:space="preserve"> PAGEREF _Toc7715609 \h </w:instrText>
        </w:r>
        <w:r w:rsidR="00871DEE">
          <w:rPr>
            <w:webHidden/>
          </w:rPr>
        </w:r>
        <w:r w:rsidR="00871DEE">
          <w:rPr>
            <w:webHidden/>
          </w:rPr>
          <w:fldChar w:fldCharType="separate"/>
        </w:r>
        <w:r w:rsidR="00871DEE">
          <w:rPr>
            <w:webHidden/>
          </w:rPr>
          <w:t>58</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10" w:history="1">
        <w:r w:rsidR="00871DEE" w:rsidRPr="00D5732F">
          <w:rPr>
            <w:rStyle w:val="Hyperlink"/>
            <w:b/>
            <w:bCs/>
          </w:rPr>
          <w:t>Das Stressschutz-Bekterium Stenotrophomonas rhizophila</w:t>
        </w:r>
        <w:r w:rsidR="00871DEE">
          <w:rPr>
            <w:webHidden/>
          </w:rPr>
          <w:tab/>
        </w:r>
        <w:r w:rsidR="00871DEE">
          <w:rPr>
            <w:webHidden/>
          </w:rPr>
          <w:fldChar w:fldCharType="begin"/>
        </w:r>
        <w:r w:rsidR="00871DEE">
          <w:rPr>
            <w:webHidden/>
          </w:rPr>
          <w:instrText xml:space="preserve"> PAGEREF _Toc7715610 \h </w:instrText>
        </w:r>
        <w:r w:rsidR="00871DEE">
          <w:rPr>
            <w:webHidden/>
          </w:rPr>
        </w:r>
        <w:r w:rsidR="00871DEE">
          <w:rPr>
            <w:webHidden/>
          </w:rPr>
          <w:fldChar w:fldCharType="separate"/>
        </w:r>
        <w:r w:rsidR="00871DEE">
          <w:rPr>
            <w:webHidden/>
          </w:rPr>
          <w:t>63</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11" w:history="1">
        <w:r w:rsidR="00871DEE" w:rsidRPr="00D5732F">
          <w:rPr>
            <w:rStyle w:val="Hyperlink"/>
          </w:rPr>
          <w:t>2.17</w:t>
        </w:r>
        <w:r w:rsidR="00871DEE">
          <w:rPr>
            <w:rFonts w:asciiTheme="minorHAnsi" w:hAnsiTheme="minorHAnsi" w:cstheme="minorBidi"/>
            <w:caps w:val="0"/>
            <w:color w:val="auto"/>
            <w:sz w:val="22"/>
            <w:szCs w:val="22"/>
            <w:lang w:val="de-DE" w:eastAsia="de-DE"/>
          </w:rPr>
          <w:tab/>
        </w:r>
        <w:r w:rsidR="00871DEE" w:rsidRPr="00D5732F">
          <w:rPr>
            <w:rStyle w:val="Hyperlink"/>
          </w:rPr>
          <w:t>Effekt VON S. RHIZOPHILA auf AUflaufrate, Jungpflanzenentwicklung, Standfestigkeit und ertrag</w:t>
        </w:r>
        <w:r w:rsidR="00871DEE">
          <w:rPr>
            <w:webHidden/>
          </w:rPr>
          <w:tab/>
        </w:r>
        <w:r w:rsidR="00871DEE">
          <w:rPr>
            <w:webHidden/>
          </w:rPr>
          <w:fldChar w:fldCharType="begin"/>
        </w:r>
        <w:r w:rsidR="00871DEE">
          <w:rPr>
            <w:webHidden/>
          </w:rPr>
          <w:instrText xml:space="preserve"> PAGEREF _Toc7715611 \h </w:instrText>
        </w:r>
        <w:r w:rsidR="00871DEE">
          <w:rPr>
            <w:webHidden/>
          </w:rPr>
        </w:r>
        <w:r w:rsidR="00871DEE">
          <w:rPr>
            <w:webHidden/>
          </w:rPr>
          <w:fldChar w:fldCharType="separate"/>
        </w:r>
        <w:r w:rsidR="00871DEE">
          <w:rPr>
            <w:webHidden/>
          </w:rPr>
          <w:t>63</w:t>
        </w:r>
        <w:r w:rsidR="00871DEE">
          <w:rPr>
            <w:webHidden/>
          </w:rPr>
          <w:fldChar w:fldCharType="end"/>
        </w:r>
      </w:hyperlink>
    </w:p>
    <w:p w:rsidR="00871DEE" w:rsidRDefault="00ED396A">
      <w:pPr>
        <w:pStyle w:val="Verzeichnis1"/>
        <w:rPr>
          <w:rFonts w:asciiTheme="minorHAnsi" w:hAnsiTheme="minorHAnsi" w:cstheme="minorBidi"/>
          <w:bCs w:val="0"/>
          <w:caps w:val="0"/>
          <w:color w:val="auto"/>
          <w:sz w:val="22"/>
          <w:szCs w:val="22"/>
          <w:lang w:val="de-DE" w:eastAsia="de-DE"/>
        </w:rPr>
      </w:pPr>
      <w:hyperlink w:anchor="_Toc7715612" w:history="1">
        <w:r w:rsidR="00871DEE" w:rsidRPr="00D5732F">
          <w:rPr>
            <w:rStyle w:val="Hyperlink"/>
          </w:rPr>
          <w:t>3</w:t>
        </w:r>
        <w:r w:rsidR="00871DEE">
          <w:rPr>
            <w:rFonts w:asciiTheme="minorHAnsi" w:hAnsiTheme="minorHAnsi" w:cstheme="minorBidi"/>
            <w:bCs w:val="0"/>
            <w:caps w:val="0"/>
            <w:color w:val="auto"/>
            <w:sz w:val="22"/>
            <w:szCs w:val="22"/>
            <w:lang w:val="de-DE" w:eastAsia="de-DE"/>
          </w:rPr>
          <w:tab/>
        </w:r>
        <w:r w:rsidR="00871DEE" w:rsidRPr="00D5732F">
          <w:rPr>
            <w:rStyle w:val="Hyperlink"/>
          </w:rPr>
          <w:t>kombinationsversuch in dedenitz (steiermark)</w:t>
        </w:r>
        <w:r w:rsidR="00871DEE">
          <w:rPr>
            <w:webHidden/>
          </w:rPr>
          <w:tab/>
        </w:r>
        <w:r w:rsidR="00871DEE">
          <w:rPr>
            <w:webHidden/>
          </w:rPr>
          <w:fldChar w:fldCharType="begin"/>
        </w:r>
        <w:r w:rsidR="00871DEE">
          <w:rPr>
            <w:webHidden/>
          </w:rPr>
          <w:instrText xml:space="preserve"> PAGEREF _Toc7715612 \h </w:instrText>
        </w:r>
        <w:r w:rsidR="00871DEE">
          <w:rPr>
            <w:webHidden/>
          </w:rPr>
        </w:r>
        <w:r w:rsidR="00871DEE">
          <w:rPr>
            <w:webHidden/>
          </w:rPr>
          <w:fldChar w:fldCharType="separate"/>
        </w:r>
        <w:r w:rsidR="00871DEE">
          <w:rPr>
            <w:webHidden/>
          </w:rPr>
          <w:t>68</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13" w:history="1">
        <w:r w:rsidR="00871DEE" w:rsidRPr="00D5732F">
          <w:rPr>
            <w:rStyle w:val="Hyperlink"/>
            <w:lang w:eastAsia="it-IT"/>
          </w:rPr>
          <w:t>3.1</w:t>
        </w:r>
        <w:r w:rsidR="00871DEE">
          <w:rPr>
            <w:rFonts w:asciiTheme="minorHAnsi" w:hAnsiTheme="minorHAnsi" w:cstheme="minorBidi"/>
            <w:caps w:val="0"/>
            <w:color w:val="auto"/>
            <w:sz w:val="22"/>
            <w:szCs w:val="22"/>
            <w:lang w:val="de-DE" w:eastAsia="de-DE"/>
          </w:rPr>
          <w:tab/>
        </w:r>
        <w:r w:rsidR="00871DEE" w:rsidRPr="00D5732F">
          <w:rPr>
            <w:rStyle w:val="Hyperlink"/>
          </w:rPr>
          <w:t>Versuchsstandorte</w:t>
        </w:r>
        <w:r w:rsidR="00871DEE">
          <w:rPr>
            <w:webHidden/>
          </w:rPr>
          <w:tab/>
        </w:r>
        <w:r w:rsidR="00871DEE">
          <w:rPr>
            <w:webHidden/>
          </w:rPr>
          <w:fldChar w:fldCharType="begin"/>
        </w:r>
        <w:r w:rsidR="00871DEE">
          <w:rPr>
            <w:webHidden/>
          </w:rPr>
          <w:instrText xml:space="preserve"> PAGEREF _Toc7715613 \h </w:instrText>
        </w:r>
        <w:r w:rsidR="00871DEE">
          <w:rPr>
            <w:webHidden/>
          </w:rPr>
        </w:r>
        <w:r w:rsidR="00871DEE">
          <w:rPr>
            <w:webHidden/>
          </w:rPr>
          <w:fldChar w:fldCharType="separate"/>
        </w:r>
        <w:r w:rsidR="00871DEE">
          <w:rPr>
            <w:webHidden/>
          </w:rPr>
          <w:t>68</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14" w:history="1">
        <w:r w:rsidR="00871DEE" w:rsidRPr="00D5732F">
          <w:rPr>
            <w:rStyle w:val="Hyperlink"/>
          </w:rPr>
          <w:t>3.2</w:t>
        </w:r>
        <w:r w:rsidR="00871DEE">
          <w:rPr>
            <w:rFonts w:asciiTheme="minorHAnsi" w:hAnsiTheme="minorHAnsi" w:cstheme="minorBidi"/>
            <w:caps w:val="0"/>
            <w:color w:val="auto"/>
            <w:sz w:val="22"/>
            <w:szCs w:val="22"/>
            <w:lang w:val="de-DE" w:eastAsia="de-DE"/>
          </w:rPr>
          <w:tab/>
        </w:r>
        <w:r w:rsidR="00871DEE" w:rsidRPr="00D5732F">
          <w:rPr>
            <w:rStyle w:val="Hyperlink"/>
          </w:rPr>
          <w:t>Strategie und Kombination biologischer Wirkstoffe</w:t>
        </w:r>
        <w:r w:rsidR="00871DEE">
          <w:rPr>
            <w:webHidden/>
          </w:rPr>
          <w:tab/>
        </w:r>
        <w:r w:rsidR="00871DEE">
          <w:rPr>
            <w:webHidden/>
          </w:rPr>
          <w:fldChar w:fldCharType="begin"/>
        </w:r>
        <w:r w:rsidR="00871DEE">
          <w:rPr>
            <w:webHidden/>
          </w:rPr>
          <w:instrText xml:space="preserve"> PAGEREF _Toc7715614 \h </w:instrText>
        </w:r>
        <w:r w:rsidR="00871DEE">
          <w:rPr>
            <w:webHidden/>
          </w:rPr>
        </w:r>
        <w:r w:rsidR="00871DEE">
          <w:rPr>
            <w:webHidden/>
          </w:rPr>
          <w:fldChar w:fldCharType="separate"/>
        </w:r>
        <w:r w:rsidR="00871DEE">
          <w:rPr>
            <w:webHidden/>
          </w:rPr>
          <w:t>70</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15" w:history="1">
        <w:r w:rsidR="00871DEE" w:rsidRPr="00D5732F">
          <w:rPr>
            <w:rStyle w:val="Hyperlink"/>
          </w:rPr>
          <w:t>3.3</w:t>
        </w:r>
        <w:r w:rsidR="00871DEE">
          <w:rPr>
            <w:rFonts w:asciiTheme="minorHAnsi" w:hAnsiTheme="minorHAnsi" w:cstheme="minorBidi"/>
            <w:caps w:val="0"/>
            <w:color w:val="auto"/>
            <w:sz w:val="22"/>
            <w:szCs w:val="22"/>
            <w:lang w:val="de-DE" w:eastAsia="de-DE"/>
          </w:rPr>
          <w:tab/>
        </w:r>
        <w:r w:rsidR="00871DEE" w:rsidRPr="00D5732F">
          <w:rPr>
            <w:rStyle w:val="Hyperlink"/>
          </w:rPr>
          <w:t>Persistenzuntersuchung, Wurzel-, Pflanzen- und Ertragsbonitur</w:t>
        </w:r>
        <w:r w:rsidR="00871DEE">
          <w:rPr>
            <w:webHidden/>
          </w:rPr>
          <w:tab/>
        </w:r>
        <w:r w:rsidR="00871DEE">
          <w:rPr>
            <w:webHidden/>
          </w:rPr>
          <w:fldChar w:fldCharType="begin"/>
        </w:r>
        <w:r w:rsidR="00871DEE">
          <w:rPr>
            <w:webHidden/>
          </w:rPr>
          <w:instrText xml:space="preserve"> PAGEREF _Toc7715615 \h </w:instrText>
        </w:r>
        <w:r w:rsidR="00871DEE">
          <w:rPr>
            <w:webHidden/>
          </w:rPr>
        </w:r>
        <w:r w:rsidR="00871DEE">
          <w:rPr>
            <w:webHidden/>
          </w:rPr>
          <w:fldChar w:fldCharType="separate"/>
        </w:r>
        <w:r w:rsidR="00871DEE">
          <w:rPr>
            <w:webHidden/>
          </w:rPr>
          <w:t>70</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16" w:history="1">
        <w:r w:rsidR="00871DEE" w:rsidRPr="00D5732F">
          <w:rPr>
            <w:rStyle w:val="Hyperlink"/>
          </w:rPr>
          <w:t>3.4</w:t>
        </w:r>
        <w:r w:rsidR="00871DEE">
          <w:rPr>
            <w:rFonts w:asciiTheme="minorHAnsi" w:hAnsiTheme="minorHAnsi" w:cstheme="minorBidi"/>
            <w:caps w:val="0"/>
            <w:color w:val="auto"/>
            <w:sz w:val="22"/>
            <w:szCs w:val="22"/>
            <w:lang w:val="de-DE" w:eastAsia="de-DE"/>
          </w:rPr>
          <w:tab/>
        </w:r>
        <w:r w:rsidR="00871DEE" w:rsidRPr="00D5732F">
          <w:rPr>
            <w:rStyle w:val="Hyperlink"/>
          </w:rPr>
          <w:t>Meteorologische Daten</w:t>
        </w:r>
        <w:r w:rsidR="00871DEE">
          <w:rPr>
            <w:webHidden/>
          </w:rPr>
          <w:tab/>
        </w:r>
        <w:r w:rsidR="00871DEE">
          <w:rPr>
            <w:webHidden/>
          </w:rPr>
          <w:fldChar w:fldCharType="begin"/>
        </w:r>
        <w:r w:rsidR="00871DEE">
          <w:rPr>
            <w:webHidden/>
          </w:rPr>
          <w:instrText xml:space="preserve"> PAGEREF _Toc7715616 \h </w:instrText>
        </w:r>
        <w:r w:rsidR="00871DEE">
          <w:rPr>
            <w:webHidden/>
          </w:rPr>
        </w:r>
        <w:r w:rsidR="00871DEE">
          <w:rPr>
            <w:webHidden/>
          </w:rPr>
          <w:fldChar w:fldCharType="separate"/>
        </w:r>
        <w:r w:rsidR="00871DEE">
          <w:rPr>
            <w:webHidden/>
          </w:rPr>
          <w:t>71</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17" w:history="1">
        <w:r w:rsidR="00871DEE" w:rsidRPr="00D5732F">
          <w:rPr>
            <w:rStyle w:val="Hyperlink"/>
          </w:rPr>
          <w:t>3.5</w:t>
        </w:r>
        <w:r w:rsidR="00871DEE">
          <w:rPr>
            <w:rFonts w:asciiTheme="minorHAnsi" w:hAnsiTheme="minorHAnsi" w:cstheme="minorBidi"/>
            <w:caps w:val="0"/>
            <w:color w:val="auto"/>
            <w:sz w:val="22"/>
            <w:szCs w:val="22"/>
            <w:lang w:val="de-DE" w:eastAsia="de-DE"/>
          </w:rPr>
          <w:tab/>
        </w:r>
        <w:r w:rsidR="00871DEE" w:rsidRPr="00D5732F">
          <w:rPr>
            <w:rStyle w:val="Hyperlink"/>
          </w:rPr>
          <w:t>produktcharakterisierung und Qualitätssicherung des Wirkstoffes GranMet</w:t>
        </w:r>
        <w:r w:rsidR="00871DEE" w:rsidRPr="00D5732F">
          <w:rPr>
            <w:rStyle w:val="Hyperlink"/>
            <w:vertAlign w:val="superscript"/>
          </w:rPr>
          <w:t>TM</w:t>
        </w:r>
        <w:r w:rsidR="00871DEE">
          <w:rPr>
            <w:webHidden/>
          </w:rPr>
          <w:tab/>
        </w:r>
        <w:r w:rsidR="00871DEE">
          <w:rPr>
            <w:webHidden/>
          </w:rPr>
          <w:fldChar w:fldCharType="begin"/>
        </w:r>
        <w:r w:rsidR="00871DEE">
          <w:rPr>
            <w:webHidden/>
          </w:rPr>
          <w:instrText xml:space="preserve"> PAGEREF _Toc7715617 \h </w:instrText>
        </w:r>
        <w:r w:rsidR="00871DEE">
          <w:rPr>
            <w:webHidden/>
          </w:rPr>
        </w:r>
        <w:r w:rsidR="00871DEE">
          <w:rPr>
            <w:webHidden/>
          </w:rPr>
          <w:fldChar w:fldCharType="separate"/>
        </w:r>
        <w:r w:rsidR="00871DEE">
          <w:rPr>
            <w:webHidden/>
          </w:rPr>
          <w:t>71</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18" w:history="1">
        <w:r w:rsidR="00871DEE" w:rsidRPr="00D5732F">
          <w:rPr>
            <w:rStyle w:val="Hyperlink"/>
            <w:noProof/>
          </w:rPr>
          <w:t>3.5.1</w:t>
        </w:r>
        <w:r w:rsidR="00871DEE">
          <w:rPr>
            <w:rFonts w:asciiTheme="minorHAnsi" w:hAnsiTheme="minorHAnsi" w:cstheme="minorBidi"/>
            <w:smallCaps w:val="0"/>
            <w:noProof/>
            <w:color w:val="auto"/>
            <w:sz w:val="22"/>
            <w:lang w:val="de-DE" w:eastAsia="de-DE"/>
          </w:rPr>
          <w:tab/>
        </w:r>
        <w:r w:rsidR="00871DEE" w:rsidRPr="00D5732F">
          <w:rPr>
            <w:rStyle w:val="Hyperlink"/>
            <w:noProof/>
          </w:rPr>
          <w:t>Qualitätssicherung</w:t>
        </w:r>
        <w:r w:rsidR="00871DEE">
          <w:rPr>
            <w:noProof/>
            <w:webHidden/>
          </w:rPr>
          <w:tab/>
        </w:r>
        <w:r w:rsidR="00871DEE">
          <w:rPr>
            <w:noProof/>
            <w:webHidden/>
          </w:rPr>
          <w:fldChar w:fldCharType="begin"/>
        </w:r>
        <w:r w:rsidR="00871DEE">
          <w:rPr>
            <w:noProof/>
            <w:webHidden/>
          </w:rPr>
          <w:instrText xml:space="preserve"> PAGEREF _Toc7715618 \h </w:instrText>
        </w:r>
        <w:r w:rsidR="00871DEE">
          <w:rPr>
            <w:noProof/>
            <w:webHidden/>
          </w:rPr>
        </w:r>
        <w:r w:rsidR="00871DEE">
          <w:rPr>
            <w:noProof/>
            <w:webHidden/>
          </w:rPr>
          <w:fldChar w:fldCharType="separate"/>
        </w:r>
        <w:r w:rsidR="00871DEE">
          <w:rPr>
            <w:noProof/>
            <w:webHidden/>
          </w:rPr>
          <w:t>71</w:t>
        </w:r>
        <w:r w:rsidR="00871DEE">
          <w:rPr>
            <w:noProof/>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19" w:history="1">
        <w:r w:rsidR="00871DEE" w:rsidRPr="00D5732F">
          <w:rPr>
            <w:rStyle w:val="Hyperlink"/>
          </w:rPr>
          <w:t>3.6</w:t>
        </w:r>
        <w:r w:rsidR="00871DEE">
          <w:rPr>
            <w:rFonts w:asciiTheme="minorHAnsi" w:hAnsiTheme="minorHAnsi" w:cstheme="minorBidi"/>
            <w:caps w:val="0"/>
            <w:color w:val="auto"/>
            <w:sz w:val="22"/>
            <w:szCs w:val="22"/>
            <w:lang w:val="de-DE" w:eastAsia="de-DE"/>
          </w:rPr>
          <w:tab/>
        </w:r>
        <w:r w:rsidR="00871DEE" w:rsidRPr="00D5732F">
          <w:rPr>
            <w:rStyle w:val="Hyperlink"/>
          </w:rPr>
          <w:t>Ermittlung der Käferzahlen</w:t>
        </w:r>
        <w:r w:rsidR="00871DEE">
          <w:rPr>
            <w:webHidden/>
          </w:rPr>
          <w:tab/>
        </w:r>
        <w:r w:rsidR="00871DEE">
          <w:rPr>
            <w:webHidden/>
          </w:rPr>
          <w:fldChar w:fldCharType="begin"/>
        </w:r>
        <w:r w:rsidR="00871DEE">
          <w:rPr>
            <w:webHidden/>
          </w:rPr>
          <w:instrText xml:space="preserve"> PAGEREF _Toc7715619 \h </w:instrText>
        </w:r>
        <w:r w:rsidR="00871DEE">
          <w:rPr>
            <w:webHidden/>
          </w:rPr>
        </w:r>
        <w:r w:rsidR="00871DEE">
          <w:rPr>
            <w:webHidden/>
          </w:rPr>
          <w:fldChar w:fldCharType="separate"/>
        </w:r>
        <w:r w:rsidR="00871DEE">
          <w:rPr>
            <w:webHidden/>
          </w:rPr>
          <w:t>71</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20" w:history="1">
        <w:r w:rsidR="00871DEE" w:rsidRPr="00D5732F">
          <w:rPr>
            <w:rStyle w:val="Hyperlink"/>
          </w:rPr>
          <w:t>3.7</w:t>
        </w:r>
        <w:r w:rsidR="00871DEE">
          <w:rPr>
            <w:rFonts w:asciiTheme="minorHAnsi" w:hAnsiTheme="minorHAnsi" w:cstheme="minorBidi"/>
            <w:caps w:val="0"/>
            <w:color w:val="auto"/>
            <w:sz w:val="22"/>
            <w:szCs w:val="22"/>
            <w:lang w:val="de-DE" w:eastAsia="de-DE"/>
          </w:rPr>
          <w:tab/>
        </w:r>
        <w:r w:rsidR="00871DEE" w:rsidRPr="00D5732F">
          <w:rPr>
            <w:rStyle w:val="Hyperlink"/>
          </w:rPr>
          <w:t>Persistenztest Dianem®</w:t>
        </w:r>
        <w:r w:rsidR="00871DEE">
          <w:rPr>
            <w:webHidden/>
          </w:rPr>
          <w:tab/>
        </w:r>
        <w:r w:rsidR="00871DEE">
          <w:rPr>
            <w:webHidden/>
          </w:rPr>
          <w:fldChar w:fldCharType="begin"/>
        </w:r>
        <w:r w:rsidR="00871DEE">
          <w:rPr>
            <w:webHidden/>
          </w:rPr>
          <w:instrText xml:space="preserve"> PAGEREF _Toc7715620 \h </w:instrText>
        </w:r>
        <w:r w:rsidR="00871DEE">
          <w:rPr>
            <w:webHidden/>
          </w:rPr>
        </w:r>
        <w:r w:rsidR="00871DEE">
          <w:rPr>
            <w:webHidden/>
          </w:rPr>
          <w:fldChar w:fldCharType="separate"/>
        </w:r>
        <w:r w:rsidR="00871DEE">
          <w:rPr>
            <w:webHidden/>
          </w:rPr>
          <w:t>73</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21" w:history="1">
        <w:r w:rsidR="00871DEE" w:rsidRPr="00D5732F">
          <w:rPr>
            <w:rStyle w:val="Hyperlink"/>
            <w:noProof/>
          </w:rPr>
          <w:t>3.7.1</w:t>
        </w:r>
        <w:r w:rsidR="00871DEE">
          <w:rPr>
            <w:rFonts w:asciiTheme="minorHAnsi" w:hAnsiTheme="minorHAnsi" w:cstheme="minorBidi"/>
            <w:smallCaps w:val="0"/>
            <w:noProof/>
            <w:color w:val="auto"/>
            <w:sz w:val="22"/>
            <w:lang w:val="de-DE" w:eastAsia="de-DE"/>
          </w:rPr>
          <w:tab/>
        </w:r>
        <w:r w:rsidR="00871DEE" w:rsidRPr="00D5732F">
          <w:rPr>
            <w:rStyle w:val="Hyperlink"/>
            <w:noProof/>
          </w:rPr>
          <w:t>Ergebnis Persistenztest Dianem®</w:t>
        </w:r>
        <w:r w:rsidR="00871DEE">
          <w:rPr>
            <w:noProof/>
            <w:webHidden/>
          </w:rPr>
          <w:tab/>
        </w:r>
        <w:r w:rsidR="00871DEE">
          <w:rPr>
            <w:noProof/>
            <w:webHidden/>
          </w:rPr>
          <w:fldChar w:fldCharType="begin"/>
        </w:r>
        <w:r w:rsidR="00871DEE">
          <w:rPr>
            <w:noProof/>
            <w:webHidden/>
          </w:rPr>
          <w:instrText xml:space="preserve"> PAGEREF _Toc7715621 \h </w:instrText>
        </w:r>
        <w:r w:rsidR="00871DEE">
          <w:rPr>
            <w:noProof/>
            <w:webHidden/>
          </w:rPr>
        </w:r>
        <w:r w:rsidR="00871DEE">
          <w:rPr>
            <w:noProof/>
            <w:webHidden/>
          </w:rPr>
          <w:fldChar w:fldCharType="separate"/>
        </w:r>
        <w:r w:rsidR="00871DEE">
          <w:rPr>
            <w:noProof/>
            <w:webHidden/>
          </w:rPr>
          <w:t>73</w:t>
        </w:r>
        <w:r w:rsidR="00871DEE">
          <w:rPr>
            <w:noProof/>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22" w:history="1">
        <w:r w:rsidR="00871DEE" w:rsidRPr="00D5732F">
          <w:rPr>
            <w:rStyle w:val="Hyperlink"/>
          </w:rPr>
          <w:t>3.8</w:t>
        </w:r>
        <w:r w:rsidR="00871DEE">
          <w:rPr>
            <w:rFonts w:asciiTheme="minorHAnsi" w:hAnsiTheme="minorHAnsi" w:cstheme="minorBidi"/>
            <w:caps w:val="0"/>
            <w:color w:val="auto"/>
            <w:sz w:val="22"/>
            <w:szCs w:val="22"/>
            <w:lang w:val="de-DE" w:eastAsia="de-DE"/>
          </w:rPr>
          <w:tab/>
        </w:r>
        <w:r w:rsidR="00871DEE" w:rsidRPr="00D5732F">
          <w:rPr>
            <w:rStyle w:val="Hyperlink"/>
          </w:rPr>
          <w:t xml:space="preserve">Applikation des Stressschutz-Bakteriums </w:t>
        </w:r>
        <w:r w:rsidR="00871DEE" w:rsidRPr="00D5732F">
          <w:rPr>
            <w:rStyle w:val="Hyperlink"/>
            <w:i/>
          </w:rPr>
          <w:t>Stenotrophomonas Rhizophila</w:t>
        </w:r>
        <w:r w:rsidR="00871DEE">
          <w:rPr>
            <w:webHidden/>
          </w:rPr>
          <w:tab/>
        </w:r>
        <w:r w:rsidR="00871DEE">
          <w:rPr>
            <w:webHidden/>
          </w:rPr>
          <w:fldChar w:fldCharType="begin"/>
        </w:r>
        <w:r w:rsidR="00871DEE">
          <w:rPr>
            <w:webHidden/>
          </w:rPr>
          <w:instrText xml:space="preserve"> PAGEREF _Toc7715622 \h </w:instrText>
        </w:r>
        <w:r w:rsidR="00871DEE">
          <w:rPr>
            <w:webHidden/>
          </w:rPr>
        </w:r>
        <w:r w:rsidR="00871DEE">
          <w:rPr>
            <w:webHidden/>
          </w:rPr>
          <w:fldChar w:fldCharType="separate"/>
        </w:r>
        <w:r w:rsidR="00871DEE">
          <w:rPr>
            <w:webHidden/>
          </w:rPr>
          <w:t>75</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23" w:history="1">
        <w:r w:rsidR="00871DEE" w:rsidRPr="00D5732F">
          <w:rPr>
            <w:rStyle w:val="Hyperlink"/>
            <w:noProof/>
          </w:rPr>
          <w:t>3.8.1</w:t>
        </w:r>
        <w:r w:rsidR="00871DEE">
          <w:rPr>
            <w:rFonts w:asciiTheme="minorHAnsi" w:hAnsiTheme="minorHAnsi" w:cstheme="minorBidi"/>
            <w:smallCaps w:val="0"/>
            <w:noProof/>
            <w:color w:val="auto"/>
            <w:sz w:val="22"/>
            <w:lang w:val="de-DE" w:eastAsia="de-DE"/>
          </w:rPr>
          <w:tab/>
        </w:r>
        <w:r w:rsidR="00871DEE" w:rsidRPr="00D5732F">
          <w:rPr>
            <w:rStyle w:val="Hyperlink"/>
            <w:noProof/>
          </w:rPr>
          <w:t>Formulierung von S. rhizophila für die Saatgutbeschichtung</w:t>
        </w:r>
        <w:r w:rsidR="00871DEE">
          <w:rPr>
            <w:noProof/>
            <w:webHidden/>
          </w:rPr>
          <w:tab/>
        </w:r>
        <w:r w:rsidR="00871DEE">
          <w:rPr>
            <w:noProof/>
            <w:webHidden/>
          </w:rPr>
          <w:fldChar w:fldCharType="begin"/>
        </w:r>
        <w:r w:rsidR="00871DEE">
          <w:rPr>
            <w:noProof/>
            <w:webHidden/>
          </w:rPr>
          <w:instrText xml:space="preserve"> PAGEREF _Toc7715623 \h </w:instrText>
        </w:r>
        <w:r w:rsidR="00871DEE">
          <w:rPr>
            <w:noProof/>
            <w:webHidden/>
          </w:rPr>
        </w:r>
        <w:r w:rsidR="00871DEE">
          <w:rPr>
            <w:noProof/>
            <w:webHidden/>
          </w:rPr>
          <w:fldChar w:fldCharType="separate"/>
        </w:r>
        <w:r w:rsidR="00871DEE">
          <w:rPr>
            <w:noProof/>
            <w:webHidden/>
          </w:rPr>
          <w:t>76</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24" w:history="1">
        <w:r w:rsidR="00871DEE" w:rsidRPr="00D5732F">
          <w:rPr>
            <w:rStyle w:val="Hyperlink"/>
            <w:noProof/>
          </w:rPr>
          <w:t>3.8.2</w:t>
        </w:r>
        <w:r w:rsidR="00871DEE">
          <w:rPr>
            <w:rFonts w:asciiTheme="minorHAnsi" w:hAnsiTheme="minorHAnsi" w:cstheme="minorBidi"/>
            <w:smallCaps w:val="0"/>
            <w:noProof/>
            <w:color w:val="auto"/>
            <w:sz w:val="22"/>
            <w:lang w:val="de-DE" w:eastAsia="de-DE"/>
          </w:rPr>
          <w:tab/>
        </w:r>
        <w:r w:rsidR="00871DEE" w:rsidRPr="00D5732F">
          <w:rPr>
            <w:rStyle w:val="Hyperlink"/>
            <w:noProof/>
          </w:rPr>
          <w:t>Untersuchungen zur Rhizosphärenkompetenz unter Feldbedingungen</w:t>
        </w:r>
        <w:r w:rsidR="00871DEE">
          <w:rPr>
            <w:noProof/>
            <w:webHidden/>
          </w:rPr>
          <w:tab/>
        </w:r>
        <w:r w:rsidR="00871DEE">
          <w:rPr>
            <w:noProof/>
            <w:webHidden/>
          </w:rPr>
          <w:fldChar w:fldCharType="begin"/>
        </w:r>
        <w:r w:rsidR="00871DEE">
          <w:rPr>
            <w:noProof/>
            <w:webHidden/>
          </w:rPr>
          <w:instrText xml:space="preserve"> PAGEREF _Toc7715624 \h </w:instrText>
        </w:r>
        <w:r w:rsidR="00871DEE">
          <w:rPr>
            <w:noProof/>
            <w:webHidden/>
          </w:rPr>
        </w:r>
        <w:r w:rsidR="00871DEE">
          <w:rPr>
            <w:noProof/>
            <w:webHidden/>
          </w:rPr>
          <w:fldChar w:fldCharType="separate"/>
        </w:r>
        <w:r w:rsidR="00871DEE">
          <w:rPr>
            <w:noProof/>
            <w:webHidden/>
          </w:rPr>
          <w:t>77</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25" w:history="1">
        <w:r w:rsidR="00871DEE" w:rsidRPr="00D5732F">
          <w:rPr>
            <w:rStyle w:val="Hyperlink"/>
            <w:noProof/>
          </w:rPr>
          <w:t>3.8.3</w:t>
        </w:r>
        <w:r w:rsidR="00871DEE">
          <w:rPr>
            <w:rFonts w:asciiTheme="minorHAnsi" w:hAnsiTheme="minorHAnsi" w:cstheme="minorBidi"/>
            <w:smallCaps w:val="0"/>
            <w:noProof/>
            <w:color w:val="auto"/>
            <w:sz w:val="22"/>
            <w:lang w:val="de-DE" w:eastAsia="de-DE"/>
          </w:rPr>
          <w:tab/>
        </w:r>
        <w:r w:rsidR="00871DEE" w:rsidRPr="00D5732F">
          <w:rPr>
            <w:rStyle w:val="Hyperlink"/>
            <w:noProof/>
          </w:rPr>
          <w:t>Analyse des wurzelassoziierten Mikrobioms</w:t>
        </w:r>
        <w:r w:rsidR="00871DEE">
          <w:rPr>
            <w:noProof/>
            <w:webHidden/>
          </w:rPr>
          <w:tab/>
        </w:r>
        <w:r w:rsidR="00871DEE">
          <w:rPr>
            <w:noProof/>
            <w:webHidden/>
          </w:rPr>
          <w:fldChar w:fldCharType="begin"/>
        </w:r>
        <w:r w:rsidR="00871DEE">
          <w:rPr>
            <w:noProof/>
            <w:webHidden/>
          </w:rPr>
          <w:instrText xml:space="preserve"> PAGEREF _Toc7715625 \h </w:instrText>
        </w:r>
        <w:r w:rsidR="00871DEE">
          <w:rPr>
            <w:noProof/>
            <w:webHidden/>
          </w:rPr>
        </w:r>
        <w:r w:rsidR="00871DEE">
          <w:rPr>
            <w:noProof/>
            <w:webHidden/>
          </w:rPr>
          <w:fldChar w:fldCharType="separate"/>
        </w:r>
        <w:r w:rsidR="00871DEE">
          <w:rPr>
            <w:noProof/>
            <w:webHidden/>
          </w:rPr>
          <w:t>77</w:t>
        </w:r>
        <w:r w:rsidR="00871DEE">
          <w:rPr>
            <w:noProof/>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26" w:history="1">
        <w:r w:rsidR="00871DEE" w:rsidRPr="00D5732F">
          <w:rPr>
            <w:rStyle w:val="Hyperlink"/>
          </w:rPr>
          <w:t>3.9</w:t>
        </w:r>
        <w:r w:rsidR="00871DEE">
          <w:rPr>
            <w:rFonts w:asciiTheme="minorHAnsi" w:hAnsiTheme="minorHAnsi" w:cstheme="minorBidi"/>
            <w:caps w:val="0"/>
            <w:color w:val="auto"/>
            <w:sz w:val="22"/>
            <w:szCs w:val="22"/>
            <w:lang w:val="de-DE" w:eastAsia="de-DE"/>
          </w:rPr>
          <w:tab/>
        </w:r>
        <w:r w:rsidR="00871DEE" w:rsidRPr="00D5732F">
          <w:rPr>
            <w:rStyle w:val="Hyperlink"/>
          </w:rPr>
          <w:t>Untersuchungen zur Rhizosphärenkompetenz</w:t>
        </w:r>
        <w:r w:rsidR="00871DEE">
          <w:rPr>
            <w:webHidden/>
          </w:rPr>
          <w:tab/>
        </w:r>
        <w:r w:rsidR="00871DEE">
          <w:rPr>
            <w:webHidden/>
          </w:rPr>
          <w:fldChar w:fldCharType="begin"/>
        </w:r>
        <w:r w:rsidR="00871DEE">
          <w:rPr>
            <w:webHidden/>
          </w:rPr>
          <w:instrText xml:space="preserve"> PAGEREF _Toc7715626 \h </w:instrText>
        </w:r>
        <w:r w:rsidR="00871DEE">
          <w:rPr>
            <w:webHidden/>
          </w:rPr>
        </w:r>
        <w:r w:rsidR="00871DEE">
          <w:rPr>
            <w:webHidden/>
          </w:rPr>
          <w:fldChar w:fldCharType="separate"/>
        </w:r>
        <w:r w:rsidR="00871DEE">
          <w:rPr>
            <w:webHidden/>
          </w:rPr>
          <w:t>79</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27" w:history="1">
        <w:r w:rsidR="00871DEE" w:rsidRPr="00D5732F">
          <w:rPr>
            <w:rStyle w:val="Hyperlink"/>
          </w:rPr>
          <w:t>3.10</w:t>
        </w:r>
        <w:r w:rsidR="00871DEE">
          <w:rPr>
            <w:rFonts w:asciiTheme="minorHAnsi" w:hAnsiTheme="minorHAnsi" w:cstheme="minorBidi"/>
            <w:caps w:val="0"/>
            <w:color w:val="auto"/>
            <w:sz w:val="22"/>
            <w:szCs w:val="22"/>
            <w:lang w:val="de-DE" w:eastAsia="de-DE"/>
          </w:rPr>
          <w:tab/>
        </w:r>
        <w:r w:rsidR="00871DEE" w:rsidRPr="00D5732F">
          <w:rPr>
            <w:rStyle w:val="Hyperlink"/>
          </w:rPr>
          <w:t>Käferfangzahlen Am Versuchsstandort Dedenitz und Umgebung</w:t>
        </w:r>
        <w:r w:rsidR="00871DEE">
          <w:rPr>
            <w:webHidden/>
          </w:rPr>
          <w:tab/>
        </w:r>
        <w:r w:rsidR="00871DEE">
          <w:rPr>
            <w:webHidden/>
          </w:rPr>
          <w:fldChar w:fldCharType="begin"/>
        </w:r>
        <w:r w:rsidR="00871DEE">
          <w:rPr>
            <w:webHidden/>
          </w:rPr>
          <w:instrText xml:space="preserve"> PAGEREF _Toc7715627 \h </w:instrText>
        </w:r>
        <w:r w:rsidR="00871DEE">
          <w:rPr>
            <w:webHidden/>
          </w:rPr>
        </w:r>
        <w:r w:rsidR="00871DEE">
          <w:rPr>
            <w:webHidden/>
          </w:rPr>
          <w:fldChar w:fldCharType="separate"/>
        </w:r>
        <w:r w:rsidR="00871DEE">
          <w:rPr>
            <w:webHidden/>
          </w:rPr>
          <w:t>80</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28" w:history="1">
        <w:r w:rsidR="00871DEE" w:rsidRPr="00D5732F">
          <w:rPr>
            <w:rStyle w:val="Hyperlink"/>
            <w:noProof/>
          </w:rPr>
          <w:t>3.10.1</w:t>
        </w:r>
        <w:r w:rsidR="00871DEE">
          <w:rPr>
            <w:rFonts w:asciiTheme="minorHAnsi" w:hAnsiTheme="minorHAnsi" w:cstheme="minorBidi"/>
            <w:smallCaps w:val="0"/>
            <w:noProof/>
            <w:color w:val="auto"/>
            <w:sz w:val="22"/>
            <w:lang w:val="de-DE" w:eastAsia="de-DE"/>
          </w:rPr>
          <w:tab/>
        </w:r>
        <w:r w:rsidR="00871DEE" w:rsidRPr="00D5732F">
          <w:rPr>
            <w:rStyle w:val="Hyperlink"/>
            <w:noProof/>
          </w:rPr>
          <w:t>Käferverteilung in Abhängigkeit vom Versuchsstandort</w:t>
        </w:r>
        <w:r w:rsidR="00871DEE">
          <w:rPr>
            <w:noProof/>
            <w:webHidden/>
          </w:rPr>
          <w:tab/>
        </w:r>
        <w:r w:rsidR="00871DEE">
          <w:rPr>
            <w:noProof/>
            <w:webHidden/>
          </w:rPr>
          <w:fldChar w:fldCharType="begin"/>
        </w:r>
        <w:r w:rsidR="00871DEE">
          <w:rPr>
            <w:noProof/>
            <w:webHidden/>
          </w:rPr>
          <w:instrText xml:space="preserve"> PAGEREF _Toc7715628 \h </w:instrText>
        </w:r>
        <w:r w:rsidR="00871DEE">
          <w:rPr>
            <w:noProof/>
            <w:webHidden/>
          </w:rPr>
        </w:r>
        <w:r w:rsidR="00871DEE">
          <w:rPr>
            <w:noProof/>
            <w:webHidden/>
          </w:rPr>
          <w:fldChar w:fldCharType="separate"/>
        </w:r>
        <w:r w:rsidR="00871DEE">
          <w:rPr>
            <w:noProof/>
            <w:webHidden/>
          </w:rPr>
          <w:t>81</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29" w:history="1">
        <w:r w:rsidR="00871DEE" w:rsidRPr="00D5732F">
          <w:rPr>
            <w:rStyle w:val="Hyperlink"/>
            <w:noProof/>
          </w:rPr>
          <w:t>3.10.2</w:t>
        </w:r>
        <w:r w:rsidR="00871DEE">
          <w:rPr>
            <w:rFonts w:asciiTheme="minorHAnsi" w:hAnsiTheme="minorHAnsi" w:cstheme="minorBidi"/>
            <w:smallCaps w:val="0"/>
            <w:noProof/>
            <w:color w:val="auto"/>
            <w:sz w:val="22"/>
            <w:lang w:val="de-DE" w:eastAsia="de-DE"/>
          </w:rPr>
          <w:tab/>
        </w:r>
        <w:r w:rsidR="00871DEE" w:rsidRPr="00D5732F">
          <w:rPr>
            <w:rStyle w:val="Hyperlink"/>
            <w:noProof/>
          </w:rPr>
          <w:t>Käferverteilung in Abhängigkeit der Wirkstoffe</w:t>
        </w:r>
        <w:r w:rsidR="00871DEE">
          <w:rPr>
            <w:noProof/>
            <w:webHidden/>
          </w:rPr>
          <w:tab/>
        </w:r>
        <w:r w:rsidR="00871DEE">
          <w:rPr>
            <w:noProof/>
            <w:webHidden/>
          </w:rPr>
          <w:fldChar w:fldCharType="begin"/>
        </w:r>
        <w:r w:rsidR="00871DEE">
          <w:rPr>
            <w:noProof/>
            <w:webHidden/>
          </w:rPr>
          <w:instrText xml:space="preserve"> PAGEREF _Toc7715629 \h </w:instrText>
        </w:r>
        <w:r w:rsidR="00871DEE">
          <w:rPr>
            <w:noProof/>
            <w:webHidden/>
          </w:rPr>
        </w:r>
        <w:r w:rsidR="00871DEE">
          <w:rPr>
            <w:noProof/>
            <w:webHidden/>
          </w:rPr>
          <w:fldChar w:fldCharType="separate"/>
        </w:r>
        <w:r w:rsidR="00871DEE">
          <w:rPr>
            <w:noProof/>
            <w:webHidden/>
          </w:rPr>
          <w:t>82</w:t>
        </w:r>
        <w:r w:rsidR="00871DEE">
          <w:rPr>
            <w:noProof/>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30" w:history="1">
        <w:r w:rsidR="00871DEE" w:rsidRPr="00D5732F">
          <w:rPr>
            <w:rStyle w:val="Hyperlink"/>
          </w:rPr>
          <w:t>3.11</w:t>
        </w:r>
        <w:r w:rsidR="00871DEE">
          <w:rPr>
            <w:rFonts w:asciiTheme="minorHAnsi" w:hAnsiTheme="minorHAnsi" w:cstheme="minorBidi"/>
            <w:caps w:val="0"/>
            <w:color w:val="auto"/>
            <w:sz w:val="22"/>
            <w:szCs w:val="22"/>
            <w:lang w:val="de-DE" w:eastAsia="de-DE"/>
          </w:rPr>
          <w:tab/>
        </w:r>
        <w:r w:rsidR="00871DEE" w:rsidRPr="00D5732F">
          <w:rPr>
            <w:rStyle w:val="Hyperlink"/>
          </w:rPr>
          <w:t>Wurzelbonitur</w:t>
        </w:r>
        <w:r w:rsidR="00871DEE">
          <w:rPr>
            <w:webHidden/>
          </w:rPr>
          <w:tab/>
        </w:r>
        <w:r w:rsidR="00871DEE">
          <w:rPr>
            <w:webHidden/>
          </w:rPr>
          <w:fldChar w:fldCharType="begin"/>
        </w:r>
        <w:r w:rsidR="00871DEE">
          <w:rPr>
            <w:webHidden/>
          </w:rPr>
          <w:instrText xml:space="preserve"> PAGEREF _Toc7715630 \h </w:instrText>
        </w:r>
        <w:r w:rsidR="00871DEE">
          <w:rPr>
            <w:webHidden/>
          </w:rPr>
        </w:r>
        <w:r w:rsidR="00871DEE">
          <w:rPr>
            <w:webHidden/>
          </w:rPr>
          <w:fldChar w:fldCharType="separate"/>
        </w:r>
        <w:r w:rsidR="00871DEE">
          <w:rPr>
            <w:webHidden/>
          </w:rPr>
          <w:t>83</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31" w:history="1">
        <w:r w:rsidR="00871DEE" w:rsidRPr="00D5732F">
          <w:rPr>
            <w:rStyle w:val="Hyperlink"/>
          </w:rPr>
          <w:t>3.12</w:t>
        </w:r>
        <w:r w:rsidR="00871DEE">
          <w:rPr>
            <w:rFonts w:asciiTheme="minorHAnsi" w:hAnsiTheme="minorHAnsi" w:cstheme="minorBidi"/>
            <w:caps w:val="0"/>
            <w:color w:val="auto"/>
            <w:sz w:val="22"/>
            <w:szCs w:val="22"/>
            <w:lang w:val="de-DE" w:eastAsia="de-DE"/>
          </w:rPr>
          <w:tab/>
        </w:r>
        <w:r w:rsidR="00871DEE" w:rsidRPr="00D5732F">
          <w:rPr>
            <w:rStyle w:val="Hyperlink"/>
          </w:rPr>
          <w:t>Pflanzenbonitur</w:t>
        </w:r>
        <w:r w:rsidR="00871DEE">
          <w:rPr>
            <w:webHidden/>
          </w:rPr>
          <w:tab/>
        </w:r>
        <w:r w:rsidR="00871DEE">
          <w:rPr>
            <w:webHidden/>
          </w:rPr>
          <w:fldChar w:fldCharType="begin"/>
        </w:r>
        <w:r w:rsidR="00871DEE">
          <w:rPr>
            <w:webHidden/>
          </w:rPr>
          <w:instrText xml:space="preserve"> PAGEREF _Toc7715631 \h </w:instrText>
        </w:r>
        <w:r w:rsidR="00871DEE">
          <w:rPr>
            <w:webHidden/>
          </w:rPr>
        </w:r>
        <w:r w:rsidR="00871DEE">
          <w:rPr>
            <w:webHidden/>
          </w:rPr>
          <w:fldChar w:fldCharType="separate"/>
        </w:r>
        <w:r w:rsidR="00871DEE">
          <w:rPr>
            <w:webHidden/>
          </w:rPr>
          <w:t>85</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32" w:history="1">
        <w:r w:rsidR="00871DEE" w:rsidRPr="00D5732F">
          <w:rPr>
            <w:rStyle w:val="Hyperlink"/>
          </w:rPr>
          <w:t>3.13</w:t>
        </w:r>
        <w:r w:rsidR="00871DEE">
          <w:rPr>
            <w:rFonts w:asciiTheme="minorHAnsi" w:hAnsiTheme="minorHAnsi" w:cstheme="minorBidi"/>
            <w:caps w:val="0"/>
            <w:color w:val="auto"/>
            <w:sz w:val="22"/>
            <w:szCs w:val="22"/>
            <w:lang w:val="de-DE" w:eastAsia="de-DE"/>
          </w:rPr>
          <w:tab/>
        </w:r>
        <w:r w:rsidR="00871DEE" w:rsidRPr="00D5732F">
          <w:rPr>
            <w:rStyle w:val="Hyperlink"/>
          </w:rPr>
          <w:t>Ertrag in Abhängigkeit der Wirkstoffe</w:t>
        </w:r>
        <w:r w:rsidR="00871DEE">
          <w:rPr>
            <w:webHidden/>
          </w:rPr>
          <w:tab/>
        </w:r>
        <w:r w:rsidR="00871DEE">
          <w:rPr>
            <w:webHidden/>
          </w:rPr>
          <w:fldChar w:fldCharType="begin"/>
        </w:r>
        <w:r w:rsidR="00871DEE">
          <w:rPr>
            <w:webHidden/>
          </w:rPr>
          <w:instrText xml:space="preserve"> PAGEREF _Toc7715632 \h </w:instrText>
        </w:r>
        <w:r w:rsidR="00871DEE">
          <w:rPr>
            <w:webHidden/>
          </w:rPr>
        </w:r>
        <w:r w:rsidR="00871DEE">
          <w:rPr>
            <w:webHidden/>
          </w:rPr>
          <w:fldChar w:fldCharType="separate"/>
        </w:r>
        <w:r w:rsidR="00871DEE">
          <w:rPr>
            <w:webHidden/>
          </w:rPr>
          <w:t>86</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33" w:history="1">
        <w:r w:rsidR="00871DEE" w:rsidRPr="00D5732F">
          <w:rPr>
            <w:rStyle w:val="Hyperlink"/>
          </w:rPr>
          <w:t>3.14</w:t>
        </w:r>
        <w:r w:rsidR="00871DEE">
          <w:rPr>
            <w:rFonts w:asciiTheme="minorHAnsi" w:hAnsiTheme="minorHAnsi" w:cstheme="minorBidi"/>
            <w:caps w:val="0"/>
            <w:color w:val="auto"/>
            <w:sz w:val="22"/>
            <w:szCs w:val="22"/>
            <w:lang w:val="de-DE" w:eastAsia="de-DE"/>
          </w:rPr>
          <w:tab/>
        </w:r>
        <w:r w:rsidR="00871DEE" w:rsidRPr="00D5732F">
          <w:rPr>
            <w:rStyle w:val="Hyperlink"/>
          </w:rPr>
          <w:t>Pilzabundanz nach einmaliger Wirkstoffapplikation</w:t>
        </w:r>
        <w:r w:rsidR="00871DEE">
          <w:rPr>
            <w:webHidden/>
          </w:rPr>
          <w:tab/>
        </w:r>
        <w:r w:rsidR="00871DEE">
          <w:rPr>
            <w:webHidden/>
          </w:rPr>
          <w:fldChar w:fldCharType="begin"/>
        </w:r>
        <w:r w:rsidR="00871DEE">
          <w:rPr>
            <w:webHidden/>
          </w:rPr>
          <w:instrText xml:space="preserve"> PAGEREF _Toc7715633 \h </w:instrText>
        </w:r>
        <w:r w:rsidR="00871DEE">
          <w:rPr>
            <w:webHidden/>
          </w:rPr>
        </w:r>
        <w:r w:rsidR="00871DEE">
          <w:rPr>
            <w:webHidden/>
          </w:rPr>
          <w:fldChar w:fldCharType="separate"/>
        </w:r>
        <w:r w:rsidR="00871DEE">
          <w:rPr>
            <w:webHidden/>
          </w:rPr>
          <w:t>87</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34" w:history="1">
        <w:r w:rsidR="00871DEE" w:rsidRPr="00D5732F">
          <w:rPr>
            <w:rStyle w:val="Hyperlink"/>
            <w:noProof/>
          </w:rPr>
          <w:t>3.14.1</w:t>
        </w:r>
        <w:r w:rsidR="00871DEE">
          <w:rPr>
            <w:rFonts w:asciiTheme="minorHAnsi" w:hAnsiTheme="minorHAnsi" w:cstheme="minorBidi"/>
            <w:smallCaps w:val="0"/>
            <w:noProof/>
            <w:color w:val="auto"/>
            <w:sz w:val="22"/>
            <w:lang w:val="de-DE" w:eastAsia="de-DE"/>
          </w:rPr>
          <w:tab/>
        </w:r>
        <w:r w:rsidR="00871DEE" w:rsidRPr="00D5732F">
          <w:rPr>
            <w:rStyle w:val="Hyperlink"/>
            <w:noProof/>
          </w:rPr>
          <w:t>Qualitätssicherung von GranMet</w:t>
        </w:r>
        <w:r w:rsidR="00871DEE" w:rsidRPr="00D5732F">
          <w:rPr>
            <w:rStyle w:val="Hyperlink"/>
            <w:noProof/>
            <w:vertAlign w:val="superscript"/>
          </w:rPr>
          <w:t>TM</w:t>
        </w:r>
        <w:r w:rsidR="00871DEE">
          <w:rPr>
            <w:noProof/>
            <w:webHidden/>
          </w:rPr>
          <w:tab/>
        </w:r>
        <w:r w:rsidR="00871DEE">
          <w:rPr>
            <w:noProof/>
            <w:webHidden/>
          </w:rPr>
          <w:fldChar w:fldCharType="begin"/>
        </w:r>
        <w:r w:rsidR="00871DEE">
          <w:rPr>
            <w:noProof/>
            <w:webHidden/>
          </w:rPr>
          <w:instrText xml:space="preserve"> PAGEREF _Toc7715634 \h </w:instrText>
        </w:r>
        <w:r w:rsidR="00871DEE">
          <w:rPr>
            <w:noProof/>
            <w:webHidden/>
          </w:rPr>
        </w:r>
        <w:r w:rsidR="00871DEE">
          <w:rPr>
            <w:noProof/>
            <w:webHidden/>
          </w:rPr>
          <w:fldChar w:fldCharType="separate"/>
        </w:r>
        <w:r w:rsidR="00871DEE">
          <w:rPr>
            <w:noProof/>
            <w:webHidden/>
          </w:rPr>
          <w:t>89</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35" w:history="1">
        <w:r w:rsidR="00871DEE" w:rsidRPr="00D5732F">
          <w:rPr>
            <w:rStyle w:val="Hyperlink"/>
            <w:noProof/>
          </w:rPr>
          <w:t>3.14.2</w:t>
        </w:r>
        <w:r w:rsidR="00871DEE">
          <w:rPr>
            <w:rFonts w:asciiTheme="minorHAnsi" w:hAnsiTheme="minorHAnsi" w:cstheme="minorBidi"/>
            <w:smallCaps w:val="0"/>
            <w:noProof/>
            <w:color w:val="auto"/>
            <w:sz w:val="22"/>
            <w:lang w:val="de-DE" w:eastAsia="de-DE"/>
          </w:rPr>
          <w:tab/>
        </w:r>
        <w:r w:rsidR="00871DEE" w:rsidRPr="00D5732F">
          <w:rPr>
            <w:rStyle w:val="Hyperlink"/>
            <w:noProof/>
          </w:rPr>
          <w:t>Anmerkung zur Auswahl des Versuchsstandortes Gomboc</w:t>
        </w:r>
        <w:r w:rsidR="00871DEE">
          <w:rPr>
            <w:noProof/>
            <w:webHidden/>
          </w:rPr>
          <w:tab/>
        </w:r>
        <w:r w:rsidR="00871DEE">
          <w:rPr>
            <w:noProof/>
            <w:webHidden/>
          </w:rPr>
          <w:fldChar w:fldCharType="begin"/>
        </w:r>
        <w:r w:rsidR="00871DEE">
          <w:rPr>
            <w:noProof/>
            <w:webHidden/>
          </w:rPr>
          <w:instrText xml:space="preserve"> PAGEREF _Toc7715635 \h </w:instrText>
        </w:r>
        <w:r w:rsidR="00871DEE">
          <w:rPr>
            <w:noProof/>
            <w:webHidden/>
          </w:rPr>
        </w:r>
        <w:r w:rsidR="00871DEE">
          <w:rPr>
            <w:noProof/>
            <w:webHidden/>
          </w:rPr>
          <w:fldChar w:fldCharType="separate"/>
        </w:r>
        <w:r w:rsidR="00871DEE">
          <w:rPr>
            <w:noProof/>
            <w:webHidden/>
          </w:rPr>
          <w:t>89</w:t>
        </w:r>
        <w:r w:rsidR="00871DEE">
          <w:rPr>
            <w:noProof/>
            <w:webHidden/>
          </w:rPr>
          <w:fldChar w:fldCharType="end"/>
        </w:r>
      </w:hyperlink>
    </w:p>
    <w:p w:rsidR="00871DEE" w:rsidRDefault="00ED396A">
      <w:pPr>
        <w:pStyle w:val="Verzeichnis1"/>
        <w:rPr>
          <w:rFonts w:asciiTheme="minorHAnsi" w:hAnsiTheme="minorHAnsi" w:cstheme="minorBidi"/>
          <w:bCs w:val="0"/>
          <w:caps w:val="0"/>
          <w:color w:val="auto"/>
          <w:sz w:val="22"/>
          <w:szCs w:val="22"/>
          <w:lang w:val="de-DE" w:eastAsia="de-DE"/>
        </w:rPr>
      </w:pPr>
      <w:hyperlink w:anchor="_Toc7715636" w:history="1">
        <w:r w:rsidR="00871DEE" w:rsidRPr="00D5732F">
          <w:rPr>
            <w:rStyle w:val="Hyperlink"/>
          </w:rPr>
          <w:t>4</w:t>
        </w:r>
        <w:r w:rsidR="00871DEE">
          <w:rPr>
            <w:rFonts w:asciiTheme="minorHAnsi" w:hAnsiTheme="minorHAnsi" w:cstheme="minorBidi"/>
            <w:bCs w:val="0"/>
            <w:caps w:val="0"/>
            <w:color w:val="auto"/>
            <w:sz w:val="22"/>
            <w:szCs w:val="22"/>
            <w:lang w:val="de-DE" w:eastAsia="de-DE"/>
          </w:rPr>
          <w:tab/>
        </w:r>
        <w:r w:rsidR="00871DEE" w:rsidRPr="00D5732F">
          <w:rPr>
            <w:rStyle w:val="Hyperlink"/>
          </w:rPr>
          <w:t>überwinterungsversuch</w:t>
        </w:r>
        <w:r w:rsidR="00871DEE">
          <w:rPr>
            <w:webHidden/>
          </w:rPr>
          <w:tab/>
        </w:r>
        <w:r w:rsidR="00871DEE">
          <w:rPr>
            <w:webHidden/>
          </w:rPr>
          <w:fldChar w:fldCharType="begin"/>
        </w:r>
        <w:r w:rsidR="00871DEE">
          <w:rPr>
            <w:webHidden/>
          </w:rPr>
          <w:instrText xml:space="preserve"> PAGEREF _Toc7715636 \h </w:instrText>
        </w:r>
        <w:r w:rsidR="00871DEE">
          <w:rPr>
            <w:webHidden/>
          </w:rPr>
        </w:r>
        <w:r w:rsidR="00871DEE">
          <w:rPr>
            <w:webHidden/>
          </w:rPr>
          <w:fldChar w:fldCharType="separate"/>
        </w:r>
        <w:r w:rsidR="00871DEE">
          <w:rPr>
            <w:webHidden/>
          </w:rPr>
          <w:t>90</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37" w:history="1">
        <w:r w:rsidR="00871DEE" w:rsidRPr="00D5732F">
          <w:rPr>
            <w:rStyle w:val="Hyperlink"/>
          </w:rPr>
          <w:t>4.1</w:t>
        </w:r>
        <w:r w:rsidR="00871DEE">
          <w:rPr>
            <w:rFonts w:asciiTheme="minorHAnsi" w:hAnsiTheme="minorHAnsi" w:cstheme="minorBidi"/>
            <w:caps w:val="0"/>
            <w:color w:val="auto"/>
            <w:sz w:val="22"/>
            <w:szCs w:val="22"/>
            <w:lang w:val="de-DE" w:eastAsia="de-DE"/>
          </w:rPr>
          <w:tab/>
        </w:r>
        <w:r w:rsidR="00871DEE" w:rsidRPr="00D5732F">
          <w:rPr>
            <w:rStyle w:val="Hyperlink"/>
          </w:rPr>
          <w:t>Untersuchung der Überwinterung von Lecanicillium lecanii und Metarhizium brunneum</w:t>
        </w:r>
        <w:r w:rsidR="00871DEE">
          <w:rPr>
            <w:webHidden/>
          </w:rPr>
          <w:tab/>
        </w:r>
        <w:r w:rsidR="00871DEE">
          <w:rPr>
            <w:webHidden/>
          </w:rPr>
          <w:fldChar w:fldCharType="begin"/>
        </w:r>
        <w:r w:rsidR="00871DEE">
          <w:rPr>
            <w:webHidden/>
          </w:rPr>
          <w:instrText xml:space="preserve"> PAGEREF _Toc7715637 \h </w:instrText>
        </w:r>
        <w:r w:rsidR="00871DEE">
          <w:rPr>
            <w:webHidden/>
          </w:rPr>
        </w:r>
        <w:r w:rsidR="00871DEE">
          <w:rPr>
            <w:webHidden/>
          </w:rPr>
          <w:fldChar w:fldCharType="separate"/>
        </w:r>
        <w:r w:rsidR="00871DEE">
          <w:rPr>
            <w:webHidden/>
          </w:rPr>
          <w:t>90</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38" w:history="1">
        <w:r w:rsidR="00871DEE" w:rsidRPr="00D5732F">
          <w:rPr>
            <w:rStyle w:val="Hyperlink"/>
            <w:noProof/>
          </w:rPr>
          <w:t>4.1.1</w:t>
        </w:r>
        <w:r w:rsidR="00871DEE">
          <w:rPr>
            <w:rFonts w:asciiTheme="minorHAnsi" w:hAnsiTheme="minorHAnsi" w:cstheme="minorBidi"/>
            <w:smallCaps w:val="0"/>
            <w:noProof/>
            <w:color w:val="auto"/>
            <w:sz w:val="22"/>
            <w:lang w:val="de-DE" w:eastAsia="de-DE"/>
          </w:rPr>
          <w:tab/>
        </w:r>
        <w:r w:rsidR="00871DEE" w:rsidRPr="00D5732F">
          <w:rPr>
            <w:rStyle w:val="Hyperlink"/>
            <w:noProof/>
          </w:rPr>
          <w:t>herstellung der Pilzgerste und der substratmischungen</w:t>
        </w:r>
        <w:r w:rsidR="00871DEE">
          <w:rPr>
            <w:noProof/>
            <w:webHidden/>
          </w:rPr>
          <w:tab/>
        </w:r>
        <w:r w:rsidR="00871DEE">
          <w:rPr>
            <w:noProof/>
            <w:webHidden/>
          </w:rPr>
          <w:fldChar w:fldCharType="begin"/>
        </w:r>
        <w:r w:rsidR="00871DEE">
          <w:rPr>
            <w:noProof/>
            <w:webHidden/>
          </w:rPr>
          <w:instrText xml:space="preserve"> PAGEREF _Toc7715638 \h </w:instrText>
        </w:r>
        <w:r w:rsidR="00871DEE">
          <w:rPr>
            <w:noProof/>
            <w:webHidden/>
          </w:rPr>
        </w:r>
        <w:r w:rsidR="00871DEE">
          <w:rPr>
            <w:noProof/>
            <w:webHidden/>
          </w:rPr>
          <w:fldChar w:fldCharType="separate"/>
        </w:r>
        <w:r w:rsidR="00871DEE">
          <w:rPr>
            <w:noProof/>
            <w:webHidden/>
          </w:rPr>
          <w:t>90</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39" w:history="1">
        <w:r w:rsidR="00871DEE" w:rsidRPr="00D5732F">
          <w:rPr>
            <w:rStyle w:val="Hyperlink"/>
            <w:noProof/>
          </w:rPr>
          <w:t>4.1.1</w:t>
        </w:r>
        <w:r w:rsidR="00871DEE">
          <w:rPr>
            <w:rFonts w:asciiTheme="minorHAnsi" w:hAnsiTheme="minorHAnsi" w:cstheme="minorBidi"/>
            <w:smallCaps w:val="0"/>
            <w:noProof/>
            <w:color w:val="auto"/>
            <w:sz w:val="22"/>
            <w:lang w:val="de-DE" w:eastAsia="de-DE"/>
          </w:rPr>
          <w:tab/>
        </w:r>
        <w:r w:rsidR="00871DEE" w:rsidRPr="00D5732F">
          <w:rPr>
            <w:rStyle w:val="Hyperlink"/>
            <w:noProof/>
          </w:rPr>
          <w:t>versuchsdesign</w:t>
        </w:r>
        <w:r w:rsidR="00871DEE">
          <w:rPr>
            <w:noProof/>
            <w:webHidden/>
          </w:rPr>
          <w:tab/>
        </w:r>
        <w:r w:rsidR="00871DEE">
          <w:rPr>
            <w:noProof/>
            <w:webHidden/>
          </w:rPr>
          <w:fldChar w:fldCharType="begin"/>
        </w:r>
        <w:r w:rsidR="00871DEE">
          <w:rPr>
            <w:noProof/>
            <w:webHidden/>
          </w:rPr>
          <w:instrText xml:space="preserve"> PAGEREF _Toc7715639 \h </w:instrText>
        </w:r>
        <w:r w:rsidR="00871DEE">
          <w:rPr>
            <w:noProof/>
            <w:webHidden/>
          </w:rPr>
        </w:r>
        <w:r w:rsidR="00871DEE">
          <w:rPr>
            <w:noProof/>
            <w:webHidden/>
          </w:rPr>
          <w:fldChar w:fldCharType="separate"/>
        </w:r>
        <w:r w:rsidR="00871DEE">
          <w:rPr>
            <w:noProof/>
            <w:webHidden/>
          </w:rPr>
          <w:t>91</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40" w:history="1">
        <w:r w:rsidR="00871DEE" w:rsidRPr="00D5732F">
          <w:rPr>
            <w:rStyle w:val="Hyperlink"/>
            <w:noProof/>
            <w:lang w:val="de-DE" w:eastAsia="de-AT"/>
          </w:rPr>
          <w:t>4.1.2</w:t>
        </w:r>
        <w:r w:rsidR="00871DEE">
          <w:rPr>
            <w:rFonts w:asciiTheme="minorHAnsi" w:hAnsiTheme="minorHAnsi" w:cstheme="minorBidi"/>
            <w:smallCaps w:val="0"/>
            <w:noProof/>
            <w:color w:val="auto"/>
            <w:sz w:val="22"/>
            <w:lang w:val="de-DE" w:eastAsia="de-DE"/>
          </w:rPr>
          <w:tab/>
        </w:r>
        <w:r w:rsidR="00871DEE" w:rsidRPr="00D5732F">
          <w:rPr>
            <w:rStyle w:val="Hyperlink"/>
            <w:noProof/>
            <w:lang w:val="de-DE" w:eastAsia="de-AT"/>
          </w:rPr>
          <w:t>Probennahmen und Analyseergebnisse</w:t>
        </w:r>
        <w:r w:rsidR="00871DEE">
          <w:rPr>
            <w:noProof/>
            <w:webHidden/>
          </w:rPr>
          <w:tab/>
        </w:r>
        <w:r w:rsidR="00871DEE">
          <w:rPr>
            <w:noProof/>
            <w:webHidden/>
          </w:rPr>
          <w:fldChar w:fldCharType="begin"/>
        </w:r>
        <w:r w:rsidR="00871DEE">
          <w:rPr>
            <w:noProof/>
            <w:webHidden/>
          </w:rPr>
          <w:instrText xml:space="preserve"> PAGEREF _Toc7715640 \h </w:instrText>
        </w:r>
        <w:r w:rsidR="00871DEE">
          <w:rPr>
            <w:noProof/>
            <w:webHidden/>
          </w:rPr>
        </w:r>
        <w:r w:rsidR="00871DEE">
          <w:rPr>
            <w:noProof/>
            <w:webHidden/>
          </w:rPr>
          <w:fldChar w:fldCharType="separate"/>
        </w:r>
        <w:r w:rsidR="00871DEE">
          <w:rPr>
            <w:noProof/>
            <w:webHidden/>
          </w:rPr>
          <w:t>93</w:t>
        </w:r>
        <w:r w:rsidR="00871DEE">
          <w:rPr>
            <w:noProof/>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41" w:history="1">
        <w:r w:rsidR="00871DEE" w:rsidRPr="00D5732F">
          <w:rPr>
            <w:rStyle w:val="Hyperlink"/>
          </w:rPr>
          <w:t>4.2</w:t>
        </w:r>
        <w:r w:rsidR="00871DEE">
          <w:rPr>
            <w:rFonts w:asciiTheme="minorHAnsi" w:hAnsiTheme="minorHAnsi" w:cstheme="minorBidi"/>
            <w:caps w:val="0"/>
            <w:color w:val="auto"/>
            <w:sz w:val="22"/>
            <w:szCs w:val="22"/>
            <w:lang w:val="de-DE" w:eastAsia="de-DE"/>
          </w:rPr>
          <w:tab/>
        </w:r>
        <w:r w:rsidR="00871DEE" w:rsidRPr="00D5732F">
          <w:rPr>
            <w:rStyle w:val="Hyperlink"/>
          </w:rPr>
          <w:t xml:space="preserve">Untersuchung von </w:t>
        </w:r>
        <w:r w:rsidR="00871DEE" w:rsidRPr="00D5732F">
          <w:rPr>
            <w:rStyle w:val="Hyperlink"/>
            <w:i/>
          </w:rPr>
          <w:t>Metacordyceps chlamydosporia</w:t>
        </w:r>
        <w:r w:rsidR="00871DEE">
          <w:rPr>
            <w:webHidden/>
          </w:rPr>
          <w:tab/>
        </w:r>
        <w:r w:rsidR="00871DEE">
          <w:rPr>
            <w:webHidden/>
          </w:rPr>
          <w:fldChar w:fldCharType="begin"/>
        </w:r>
        <w:r w:rsidR="00871DEE">
          <w:rPr>
            <w:webHidden/>
          </w:rPr>
          <w:instrText xml:space="preserve"> PAGEREF _Toc7715641 \h </w:instrText>
        </w:r>
        <w:r w:rsidR="00871DEE">
          <w:rPr>
            <w:webHidden/>
          </w:rPr>
        </w:r>
        <w:r w:rsidR="00871DEE">
          <w:rPr>
            <w:webHidden/>
          </w:rPr>
          <w:fldChar w:fldCharType="separate"/>
        </w:r>
        <w:r w:rsidR="00871DEE">
          <w:rPr>
            <w:webHidden/>
          </w:rPr>
          <w:t>94</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42" w:history="1">
        <w:r w:rsidR="00871DEE" w:rsidRPr="00D5732F">
          <w:rPr>
            <w:rStyle w:val="Hyperlink"/>
            <w:noProof/>
          </w:rPr>
          <w:t>4.2.1</w:t>
        </w:r>
        <w:r w:rsidR="00871DEE">
          <w:rPr>
            <w:rFonts w:asciiTheme="minorHAnsi" w:hAnsiTheme="minorHAnsi" w:cstheme="minorBidi"/>
            <w:smallCaps w:val="0"/>
            <w:noProof/>
            <w:color w:val="auto"/>
            <w:sz w:val="22"/>
            <w:lang w:val="de-DE" w:eastAsia="de-DE"/>
          </w:rPr>
          <w:tab/>
        </w:r>
        <w:r w:rsidR="00871DEE" w:rsidRPr="00D5732F">
          <w:rPr>
            <w:rStyle w:val="Hyperlink"/>
            <w:noProof/>
          </w:rPr>
          <w:t xml:space="preserve">untersuchung der wirkung von </w:t>
        </w:r>
        <w:r w:rsidR="00871DEE" w:rsidRPr="00D5732F">
          <w:rPr>
            <w:rStyle w:val="Hyperlink"/>
            <w:i/>
            <w:noProof/>
          </w:rPr>
          <w:t xml:space="preserve">METACORDYCEPS CHLAMYDOSPORIA </w:t>
        </w:r>
        <w:r w:rsidR="00871DEE" w:rsidRPr="00D5732F">
          <w:rPr>
            <w:rStyle w:val="Hyperlink"/>
            <w:noProof/>
          </w:rPr>
          <w:t>gegen Die Baumwollkapseleule)</w:t>
        </w:r>
        <w:r w:rsidR="00871DEE">
          <w:rPr>
            <w:noProof/>
            <w:webHidden/>
          </w:rPr>
          <w:tab/>
        </w:r>
        <w:r w:rsidR="00871DEE">
          <w:rPr>
            <w:noProof/>
            <w:webHidden/>
          </w:rPr>
          <w:fldChar w:fldCharType="begin"/>
        </w:r>
        <w:r w:rsidR="00871DEE">
          <w:rPr>
            <w:noProof/>
            <w:webHidden/>
          </w:rPr>
          <w:instrText xml:space="preserve"> PAGEREF _Toc7715642 \h </w:instrText>
        </w:r>
        <w:r w:rsidR="00871DEE">
          <w:rPr>
            <w:noProof/>
            <w:webHidden/>
          </w:rPr>
        </w:r>
        <w:r w:rsidR="00871DEE">
          <w:rPr>
            <w:noProof/>
            <w:webHidden/>
          </w:rPr>
          <w:fldChar w:fldCharType="separate"/>
        </w:r>
        <w:r w:rsidR="00871DEE">
          <w:rPr>
            <w:noProof/>
            <w:webHidden/>
          </w:rPr>
          <w:t>94</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43" w:history="1">
        <w:r w:rsidR="00871DEE" w:rsidRPr="00D5732F">
          <w:rPr>
            <w:rStyle w:val="Hyperlink"/>
            <w:noProof/>
          </w:rPr>
          <w:t>4.2.2</w:t>
        </w:r>
        <w:r w:rsidR="00871DEE">
          <w:rPr>
            <w:rFonts w:asciiTheme="minorHAnsi" w:hAnsiTheme="minorHAnsi" w:cstheme="minorBidi"/>
            <w:smallCaps w:val="0"/>
            <w:noProof/>
            <w:color w:val="auto"/>
            <w:sz w:val="22"/>
            <w:lang w:val="de-DE" w:eastAsia="de-DE"/>
          </w:rPr>
          <w:tab/>
        </w:r>
        <w:r w:rsidR="00871DEE" w:rsidRPr="00D5732F">
          <w:rPr>
            <w:rStyle w:val="Hyperlink"/>
            <w:noProof/>
          </w:rPr>
          <w:t xml:space="preserve">untersuchung der wirkung von </w:t>
        </w:r>
        <w:r w:rsidR="00871DEE" w:rsidRPr="00D5732F">
          <w:rPr>
            <w:rStyle w:val="Hyperlink"/>
            <w:i/>
            <w:noProof/>
          </w:rPr>
          <w:t xml:space="preserve">METACORDYCEPS CHLAMYDOSPORIA </w:t>
        </w:r>
        <w:r w:rsidR="00871DEE" w:rsidRPr="00D5732F">
          <w:rPr>
            <w:rStyle w:val="Hyperlink"/>
            <w:noProof/>
          </w:rPr>
          <w:t xml:space="preserve">gegen </w:t>
        </w:r>
        <w:r w:rsidR="00871DEE" w:rsidRPr="00D5732F">
          <w:rPr>
            <w:rStyle w:val="Hyperlink"/>
            <w:i/>
            <w:noProof/>
          </w:rPr>
          <w:t>Tenebrio molitor (Mehlwürmer)</w:t>
        </w:r>
        <w:r w:rsidR="00871DEE">
          <w:rPr>
            <w:noProof/>
            <w:webHidden/>
          </w:rPr>
          <w:tab/>
        </w:r>
        <w:r w:rsidR="00871DEE">
          <w:rPr>
            <w:noProof/>
            <w:webHidden/>
          </w:rPr>
          <w:fldChar w:fldCharType="begin"/>
        </w:r>
        <w:r w:rsidR="00871DEE">
          <w:rPr>
            <w:noProof/>
            <w:webHidden/>
          </w:rPr>
          <w:instrText xml:space="preserve"> PAGEREF _Toc7715643 \h </w:instrText>
        </w:r>
        <w:r w:rsidR="00871DEE">
          <w:rPr>
            <w:noProof/>
            <w:webHidden/>
          </w:rPr>
        </w:r>
        <w:r w:rsidR="00871DEE">
          <w:rPr>
            <w:noProof/>
            <w:webHidden/>
          </w:rPr>
          <w:fldChar w:fldCharType="separate"/>
        </w:r>
        <w:r w:rsidR="00871DEE">
          <w:rPr>
            <w:noProof/>
            <w:webHidden/>
          </w:rPr>
          <w:t>96</w:t>
        </w:r>
        <w:r w:rsidR="00871DEE">
          <w:rPr>
            <w:noProof/>
            <w:webHidden/>
          </w:rPr>
          <w:fldChar w:fldCharType="end"/>
        </w:r>
      </w:hyperlink>
    </w:p>
    <w:p w:rsidR="00871DEE" w:rsidRDefault="00ED396A">
      <w:pPr>
        <w:pStyle w:val="Verzeichnis1"/>
        <w:rPr>
          <w:rFonts w:asciiTheme="minorHAnsi" w:hAnsiTheme="minorHAnsi" w:cstheme="minorBidi"/>
          <w:bCs w:val="0"/>
          <w:caps w:val="0"/>
          <w:color w:val="auto"/>
          <w:sz w:val="22"/>
          <w:szCs w:val="22"/>
          <w:lang w:val="de-DE" w:eastAsia="de-DE"/>
        </w:rPr>
      </w:pPr>
      <w:hyperlink w:anchor="_Toc7715644" w:history="1">
        <w:r w:rsidR="00871DEE" w:rsidRPr="00D5732F">
          <w:rPr>
            <w:rStyle w:val="Hyperlink"/>
          </w:rPr>
          <w:t>5</w:t>
        </w:r>
        <w:r w:rsidR="00871DEE">
          <w:rPr>
            <w:rFonts w:asciiTheme="minorHAnsi" w:hAnsiTheme="minorHAnsi" w:cstheme="minorBidi"/>
            <w:bCs w:val="0"/>
            <w:caps w:val="0"/>
            <w:color w:val="auto"/>
            <w:sz w:val="22"/>
            <w:szCs w:val="22"/>
            <w:lang w:val="de-DE" w:eastAsia="de-DE"/>
          </w:rPr>
          <w:tab/>
        </w:r>
        <w:r w:rsidR="00871DEE" w:rsidRPr="00D5732F">
          <w:rPr>
            <w:rStyle w:val="Hyperlink"/>
          </w:rPr>
          <w:t>Zukunftsweisende Massnahmen und Strategien zur Bekämpfung des Westlichen Maiswurzelbohrers</w:t>
        </w:r>
        <w:r w:rsidR="00871DEE">
          <w:rPr>
            <w:webHidden/>
          </w:rPr>
          <w:tab/>
        </w:r>
        <w:r w:rsidR="00871DEE">
          <w:rPr>
            <w:webHidden/>
          </w:rPr>
          <w:fldChar w:fldCharType="begin"/>
        </w:r>
        <w:r w:rsidR="00871DEE">
          <w:rPr>
            <w:webHidden/>
          </w:rPr>
          <w:instrText xml:space="preserve"> PAGEREF _Toc7715644 \h </w:instrText>
        </w:r>
        <w:r w:rsidR="00871DEE">
          <w:rPr>
            <w:webHidden/>
          </w:rPr>
        </w:r>
        <w:r w:rsidR="00871DEE">
          <w:rPr>
            <w:webHidden/>
          </w:rPr>
          <w:fldChar w:fldCharType="separate"/>
        </w:r>
        <w:r w:rsidR="00871DEE">
          <w:rPr>
            <w:webHidden/>
          </w:rPr>
          <w:t>97</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45" w:history="1">
        <w:r w:rsidR="00871DEE" w:rsidRPr="00D5732F">
          <w:rPr>
            <w:rStyle w:val="Hyperlink"/>
          </w:rPr>
          <w:t>5.1</w:t>
        </w:r>
        <w:r w:rsidR="00871DEE">
          <w:rPr>
            <w:rFonts w:asciiTheme="minorHAnsi" w:hAnsiTheme="minorHAnsi" w:cstheme="minorBidi"/>
            <w:caps w:val="0"/>
            <w:color w:val="auto"/>
            <w:sz w:val="22"/>
            <w:szCs w:val="22"/>
            <w:lang w:val="de-DE" w:eastAsia="de-DE"/>
          </w:rPr>
          <w:tab/>
        </w:r>
        <w:r w:rsidR="00871DEE" w:rsidRPr="00D5732F">
          <w:rPr>
            <w:rStyle w:val="Hyperlink"/>
          </w:rPr>
          <w:t xml:space="preserve">Aktualisierung der ökonomischen Schadschwelle von </w:t>
        </w:r>
        <w:r w:rsidR="00871DEE" w:rsidRPr="00D5732F">
          <w:rPr>
            <w:rStyle w:val="Hyperlink"/>
            <w:i/>
          </w:rPr>
          <w:t>Diabrotica</w:t>
        </w:r>
        <w:r w:rsidR="00871DEE">
          <w:rPr>
            <w:webHidden/>
          </w:rPr>
          <w:tab/>
        </w:r>
        <w:r w:rsidR="00871DEE">
          <w:rPr>
            <w:webHidden/>
          </w:rPr>
          <w:fldChar w:fldCharType="begin"/>
        </w:r>
        <w:r w:rsidR="00871DEE">
          <w:rPr>
            <w:webHidden/>
          </w:rPr>
          <w:instrText xml:space="preserve"> PAGEREF _Toc7715645 \h </w:instrText>
        </w:r>
        <w:r w:rsidR="00871DEE">
          <w:rPr>
            <w:webHidden/>
          </w:rPr>
        </w:r>
        <w:r w:rsidR="00871DEE">
          <w:rPr>
            <w:webHidden/>
          </w:rPr>
          <w:fldChar w:fldCharType="separate"/>
        </w:r>
        <w:r w:rsidR="00871DEE">
          <w:rPr>
            <w:webHidden/>
          </w:rPr>
          <w:t>97</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46" w:history="1">
        <w:r w:rsidR="00871DEE" w:rsidRPr="00D5732F">
          <w:rPr>
            <w:rStyle w:val="Hyperlink"/>
          </w:rPr>
          <w:t>5.2</w:t>
        </w:r>
        <w:r w:rsidR="00871DEE">
          <w:rPr>
            <w:rFonts w:asciiTheme="minorHAnsi" w:hAnsiTheme="minorHAnsi" w:cstheme="minorBidi"/>
            <w:caps w:val="0"/>
            <w:color w:val="auto"/>
            <w:sz w:val="22"/>
            <w:szCs w:val="22"/>
            <w:lang w:val="de-DE" w:eastAsia="de-DE"/>
          </w:rPr>
          <w:tab/>
        </w:r>
        <w:r w:rsidR="00871DEE" w:rsidRPr="00D5732F">
          <w:rPr>
            <w:rStyle w:val="Hyperlink"/>
          </w:rPr>
          <w:t>Ermittlung der Schadschwelle mit dem Schlupfkäfigsystem</w:t>
        </w:r>
        <w:r w:rsidR="00871DEE">
          <w:rPr>
            <w:webHidden/>
          </w:rPr>
          <w:tab/>
        </w:r>
        <w:r w:rsidR="00871DEE">
          <w:rPr>
            <w:webHidden/>
          </w:rPr>
          <w:fldChar w:fldCharType="begin"/>
        </w:r>
        <w:r w:rsidR="00871DEE">
          <w:rPr>
            <w:webHidden/>
          </w:rPr>
          <w:instrText xml:space="preserve"> PAGEREF _Toc7715646 \h </w:instrText>
        </w:r>
        <w:r w:rsidR="00871DEE">
          <w:rPr>
            <w:webHidden/>
          </w:rPr>
        </w:r>
        <w:r w:rsidR="00871DEE">
          <w:rPr>
            <w:webHidden/>
          </w:rPr>
          <w:fldChar w:fldCharType="separate"/>
        </w:r>
        <w:r w:rsidR="00871DEE">
          <w:rPr>
            <w:webHidden/>
          </w:rPr>
          <w:t>97</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47" w:history="1">
        <w:r w:rsidR="00871DEE" w:rsidRPr="00D5732F">
          <w:rPr>
            <w:rStyle w:val="Hyperlink"/>
          </w:rPr>
          <w:t>5.3</w:t>
        </w:r>
        <w:r w:rsidR="00871DEE">
          <w:rPr>
            <w:rFonts w:asciiTheme="minorHAnsi" w:hAnsiTheme="minorHAnsi" w:cstheme="minorBidi"/>
            <w:caps w:val="0"/>
            <w:color w:val="auto"/>
            <w:sz w:val="22"/>
            <w:szCs w:val="22"/>
            <w:lang w:val="de-DE" w:eastAsia="de-DE"/>
          </w:rPr>
          <w:tab/>
        </w:r>
        <w:r w:rsidR="00871DEE" w:rsidRPr="00D5732F">
          <w:rPr>
            <w:rStyle w:val="Hyperlink"/>
          </w:rPr>
          <w:t>Integrierte Pflanzenschutzmaßnahme zur Bekämpfung der Diabrotica-Larven</w:t>
        </w:r>
        <w:r w:rsidR="00871DEE">
          <w:rPr>
            <w:webHidden/>
          </w:rPr>
          <w:tab/>
        </w:r>
        <w:r w:rsidR="00871DEE">
          <w:rPr>
            <w:webHidden/>
          </w:rPr>
          <w:fldChar w:fldCharType="begin"/>
        </w:r>
        <w:r w:rsidR="00871DEE">
          <w:rPr>
            <w:webHidden/>
          </w:rPr>
          <w:instrText xml:space="preserve"> PAGEREF _Toc7715647 \h </w:instrText>
        </w:r>
        <w:r w:rsidR="00871DEE">
          <w:rPr>
            <w:webHidden/>
          </w:rPr>
        </w:r>
        <w:r w:rsidR="00871DEE">
          <w:rPr>
            <w:webHidden/>
          </w:rPr>
          <w:fldChar w:fldCharType="separate"/>
        </w:r>
        <w:r w:rsidR="00871DEE">
          <w:rPr>
            <w:webHidden/>
          </w:rPr>
          <w:t>97</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48" w:history="1">
        <w:r w:rsidR="00871DEE" w:rsidRPr="00D5732F">
          <w:rPr>
            <w:rStyle w:val="Hyperlink"/>
          </w:rPr>
          <w:t>5.4</w:t>
        </w:r>
        <w:r w:rsidR="00871DEE">
          <w:rPr>
            <w:rFonts w:asciiTheme="minorHAnsi" w:hAnsiTheme="minorHAnsi" w:cstheme="minorBidi"/>
            <w:caps w:val="0"/>
            <w:color w:val="auto"/>
            <w:sz w:val="22"/>
            <w:szCs w:val="22"/>
            <w:lang w:val="de-DE" w:eastAsia="de-DE"/>
          </w:rPr>
          <w:tab/>
        </w:r>
        <w:r w:rsidR="00871DEE" w:rsidRPr="00D5732F">
          <w:rPr>
            <w:rStyle w:val="Hyperlink"/>
          </w:rPr>
          <w:t xml:space="preserve">Biologische Käferbekämpfung mit </w:t>
        </w:r>
        <w:r w:rsidR="00871DEE" w:rsidRPr="00D5732F">
          <w:rPr>
            <w:rStyle w:val="Hyperlink"/>
            <w:i/>
          </w:rPr>
          <w:t>Metarhizium</w:t>
        </w:r>
        <w:r w:rsidR="00871DEE">
          <w:rPr>
            <w:webHidden/>
          </w:rPr>
          <w:tab/>
        </w:r>
        <w:r w:rsidR="00871DEE">
          <w:rPr>
            <w:webHidden/>
          </w:rPr>
          <w:fldChar w:fldCharType="begin"/>
        </w:r>
        <w:r w:rsidR="00871DEE">
          <w:rPr>
            <w:webHidden/>
          </w:rPr>
          <w:instrText xml:space="preserve"> PAGEREF _Toc7715648 \h </w:instrText>
        </w:r>
        <w:r w:rsidR="00871DEE">
          <w:rPr>
            <w:webHidden/>
          </w:rPr>
        </w:r>
        <w:r w:rsidR="00871DEE">
          <w:rPr>
            <w:webHidden/>
          </w:rPr>
          <w:fldChar w:fldCharType="separate"/>
        </w:r>
        <w:r w:rsidR="00871DEE">
          <w:rPr>
            <w:webHidden/>
          </w:rPr>
          <w:t>98</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49" w:history="1">
        <w:r w:rsidR="00871DEE" w:rsidRPr="00D5732F">
          <w:rPr>
            <w:rStyle w:val="Hyperlink"/>
          </w:rPr>
          <w:t>5.5</w:t>
        </w:r>
        <w:r w:rsidR="00871DEE">
          <w:rPr>
            <w:rFonts w:asciiTheme="minorHAnsi" w:hAnsiTheme="minorHAnsi" w:cstheme="minorBidi"/>
            <w:caps w:val="0"/>
            <w:color w:val="auto"/>
            <w:sz w:val="22"/>
            <w:szCs w:val="22"/>
            <w:lang w:val="de-DE" w:eastAsia="de-DE"/>
          </w:rPr>
          <w:tab/>
        </w:r>
        <w:r w:rsidR="00871DEE" w:rsidRPr="00D5732F">
          <w:rPr>
            <w:rStyle w:val="Hyperlink"/>
          </w:rPr>
          <w:t>Antragstellung auf Zulassung bei Gefahr in Verzug (Artikel 53 der Verordnung (EG) Nr. 1107/2009)</w:t>
        </w:r>
        <w:r w:rsidR="00871DEE">
          <w:rPr>
            <w:webHidden/>
          </w:rPr>
          <w:tab/>
        </w:r>
        <w:r w:rsidR="00871DEE">
          <w:rPr>
            <w:webHidden/>
          </w:rPr>
          <w:fldChar w:fldCharType="begin"/>
        </w:r>
        <w:r w:rsidR="00871DEE">
          <w:rPr>
            <w:webHidden/>
          </w:rPr>
          <w:instrText xml:space="preserve"> PAGEREF _Toc7715649 \h </w:instrText>
        </w:r>
        <w:r w:rsidR="00871DEE">
          <w:rPr>
            <w:webHidden/>
          </w:rPr>
        </w:r>
        <w:r w:rsidR="00871DEE">
          <w:rPr>
            <w:webHidden/>
          </w:rPr>
          <w:fldChar w:fldCharType="separate"/>
        </w:r>
        <w:r w:rsidR="00871DEE">
          <w:rPr>
            <w:webHidden/>
          </w:rPr>
          <w:t>98</w:t>
        </w:r>
        <w:r w:rsidR="00871DEE">
          <w:rPr>
            <w:webHidden/>
          </w:rPr>
          <w:fldChar w:fldCharType="end"/>
        </w:r>
      </w:hyperlink>
    </w:p>
    <w:p w:rsidR="00871DEE" w:rsidRDefault="00ED396A">
      <w:pPr>
        <w:pStyle w:val="Verzeichnis1"/>
        <w:rPr>
          <w:rFonts w:asciiTheme="minorHAnsi" w:hAnsiTheme="minorHAnsi" w:cstheme="minorBidi"/>
          <w:bCs w:val="0"/>
          <w:caps w:val="0"/>
          <w:color w:val="auto"/>
          <w:sz w:val="22"/>
          <w:szCs w:val="22"/>
          <w:lang w:val="de-DE" w:eastAsia="de-DE"/>
        </w:rPr>
      </w:pPr>
      <w:hyperlink w:anchor="_Toc7715650" w:history="1">
        <w:r w:rsidR="00871DEE" w:rsidRPr="00D5732F">
          <w:rPr>
            <w:rStyle w:val="Hyperlink"/>
            <w:lang w:val="en-US"/>
          </w:rPr>
          <w:t>6</w:t>
        </w:r>
        <w:r w:rsidR="00871DEE">
          <w:rPr>
            <w:rFonts w:asciiTheme="minorHAnsi" w:hAnsiTheme="minorHAnsi" w:cstheme="minorBidi"/>
            <w:bCs w:val="0"/>
            <w:caps w:val="0"/>
            <w:color w:val="auto"/>
            <w:sz w:val="22"/>
            <w:szCs w:val="22"/>
            <w:lang w:val="de-DE" w:eastAsia="de-DE"/>
          </w:rPr>
          <w:tab/>
        </w:r>
        <w:r w:rsidR="00871DEE" w:rsidRPr="00D5732F">
          <w:rPr>
            <w:rStyle w:val="Hyperlink"/>
            <w:lang w:val="en-US"/>
          </w:rPr>
          <w:t>Literatur</w:t>
        </w:r>
        <w:r w:rsidR="00871DEE">
          <w:rPr>
            <w:webHidden/>
          </w:rPr>
          <w:tab/>
        </w:r>
        <w:r w:rsidR="00871DEE">
          <w:rPr>
            <w:webHidden/>
          </w:rPr>
          <w:fldChar w:fldCharType="begin"/>
        </w:r>
        <w:r w:rsidR="00871DEE">
          <w:rPr>
            <w:webHidden/>
          </w:rPr>
          <w:instrText xml:space="preserve"> PAGEREF _Toc7715650 \h </w:instrText>
        </w:r>
        <w:r w:rsidR="00871DEE">
          <w:rPr>
            <w:webHidden/>
          </w:rPr>
        </w:r>
        <w:r w:rsidR="00871DEE">
          <w:rPr>
            <w:webHidden/>
          </w:rPr>
          <w:fldChar w:fldCharType="separate"/>
        </w:r>
        <w:r w:rsidR="00871DEE">
          <w:rPr>
            <w:webHidden/>
          </w:rPr>
          <w:t>99</w:t>
        </w:r>
        <w:r w:rsidR="00871DEE">
          <w:rPr>
            <w:webHidden/>
          </w:rPr>
          <w:fldChar w:fldCharType="end"/>
        </w:r>
      </w:hyperlink>
    </w:p>
    <w:p w:rsidR="00871DEE" w:rsidRDefault="00ED396A">
      <w:pPr>
        <w:pStyle w:val="Verzeichnis1"/>
        <w:rPr>
          <w:rFonts w:asciiTheme="minorHAnsi" w:hAnsiTheme="minorHAnsi" w:cstheme="minorBidi"/>
          <w:bCs w:val="0"/>
          <w:caps w:val="0"/>
          <w:color w:val="auto"/>
          <w:sz w:val="22"/>
          <w:szCs w:val="22"/>
          <w:lang w:val="de-DE" w:eastAsia="de-DE"/>
        </w:rPr>
      </w:pPr>
      <w:hyperlink w:anchor="_Toc7715651" w:history="1">
        <w:r w:rsidR="00871DEE" w:rsidRPr="00D5732F">
          <w:rPr>
            <w:rStyle w:val="Hyperlink"/>
          </w:rPr>
          <w:t>7</w:t>
        </w:r>
        <w:r w:rsidR="00871DEE">
          <w:rPr>
            <w:rFonts w:asciiTheme="minorHAnsi" w:hAnsiTheme="minorHAnsi" w:cstheme="minorBidi"/>
            <w:bCs w:val="0"/>
            <w:caps w:val="0"/>
            <w:color w:val="auto"/>
            <w:sz w:val="22"/>
            <w:szCs w:val="22"/>
            <w:lang w:val="de-DE" w:eastAsia="de-DE"/>
          </w:rPr>
          <w:tab/>
        </w:r>
        <w:r w:rsidR="00871DEE" w:rsidRPr="00D5732F">
          <w:rPr>
            <w:rStyle w:val="Hyperlink"/>
          </w:rPr>
          <w:t>Danksagung</w:t>
        </w:r>
        <w:r w:rsidR="00871DEE">
          <w:rPr>
            <w:webHidden/>
          </w:rPr>
          <w:tab/>
        </w:r>
        <w:r w:rsidR="00871DEE">
          <w:rPr>
            <w:webHidden/>
          </w:rPr>
          <w:fldChar w:fldCharType="begin"/>
        </w:r>
        <w:r w:rsidR="00871DEE">
          <w:rPr>
            <w:webHidden/>
          </w:rPr>
          <w:instrText xml:space="preserve"> PAGEREF _Toc7715651 \h </w:instrText>
        </w:r>
        <w:r w:rsidR="00871DEE">
          <w:rPr>
            <w:webHidden/>
          </w:rPr>
        </w:r>
        <w:r w:rsidR="00871DEE">
          <w:rPr>
            <w:webHidden/>
          </w:rPr>
          <w:fldChar w:fldCharType="separate"/>
        </w:r>
        <w:r w:rsidR="00871DEE">
          <w:rPr>
            <w:webHidden/>
          </w:rPr>
          <w:t>100</w:t>
        </w:r>
        <w:r w:rsidR="00871DEE">
          <w:rPr>
            <w:webHidden/>
          </w:rPr>
          <w:fldChar w:fldCharType="end"/>
        </w:r>
      </w:hyperlink>
    </w:p>
    <w:p w:rsidR="00871DEE" w:rsidRDefault="00ED396A">
      <w:pPr>
        <w:pStyle w:val="Verzeichnis1"/>
        <w:rPr>
          <w:rFonts w:asciiTheme="minorHAnsi" w:hAnsiTheme="minorHAnsi" w:cstheme="minorBidi"/>
          <w:bCs w:val="0"/>
          <w:caps w:val="0"/>
          <w:color w:val="auto"/>
          <w:sz w:val="22"/>
          <w:szCs w:val="22"/>
          <w:lang w:val="de-DE" w:eastAsia="de-DE"/>
        </w:rPr>
      </w:pPr>
      <w:hyperlink w:anchor="_Toc7715652" w:history="1">
        <w:r w:rsidR="00871DEE" w:rsidRPr="00D5732F">
          <w:rPr>
            <w:rStyle w:val="Hyperlink"/>
          </w:rPr>
          <w:t>8</w:t>
        </w:r>
        <w:r w:rsidR="00871DEE">
          <w:rPr>
            <w:rFonts w:asciiTheme="minorHAnsi" w:hAnsiTheme="minorHAnsi" w:cstheme="minorBidi"/>
            <w:bCs w:val="0"/>
            <w:caps w:val="0"/>
            <w:color w:val="auto"/>
            <w:sz w:val="22"/>
            <w:szCs w:val="22"/>
            <w:lang w:val="de-DE" w:eastAsia="de-DE"/>
          </w:rPr>
          <w:tab/>
        </w:r>
        <w:r w:rsidR="00871DEE" w:rsidRPr="00D5732F">
          <w:rPr>
            <w:rStyle w:val="Hyperlink"/>
          </w:rPr>
          <w:t>Anhang</w:t>
        </w:r>
        <w:r w:rsidR="00871DEE">
          <w:rPr>
            <w:webHidden/>
          </w:rPr>
          <w:tab/>
        </w:r>
        <w:r w:rsidR="00871DEE">
          <w:rPr>
            <w:webHidden/>
          </w:rPr>
          <w:fldChar w:fldCharType="begin"/>
        </w:r>
        <w:r w:rsidR="00871DEE">
          <w:rPr>
            <w:webHidden/>
          </w:rPr>
          <w:instrText xml:space="preserve"> PAGEREF _Toc7715652 \h </w:instrText>
        </w:r>
        <w:r w:rsidR="00871DEE">
          <w:rPr>
            <w:webHidden/>
          </w:rPr>
        </w:r>
        <w:r w:rsidR="00871DEE">
          <w:rPr>
            <w:webHidden/>
          </w:rPr>
          <w:fldChar w:fldCharType="separate"/>
        </w:r>
        <w:r w:rsidR="00871DEE">
          <w:rPr>
            <w:webHidden/>
          </w:rPr>
          <w:t>101</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53" w:history="1">
        <w:r w:rsidR="00871DEE" w:rsidRPr="00D5732F">
          <w:rPr>
            <w:rStyle w:val="Hyperlink"/>
          </w:rPr>
          <w:t>8.1</w:t>
        </w:r>
        <w:r w:rsidR="00871DEE">
          <w:rPr>
            <w:rFonts w:asciiTheme="minorHAnsi" w:hAnsiTheme="minorHAnsi" w:cstheme="minorBidi"/>
            <w:caps w:val="0"/>
            <w:color w:val="auto"/>
            <w:sz w:val="22"/>
            <w:szCs w:val="22"/>
            <w:lang w:val="de-DE" w:eastAsia="de-DE"/>
          </w:rPr>
          <w:tab/>
        </w:r>
        <w:r w:rsidR="00871DEE" w:rsidRPr="00D5732F">
          <w:rPr>
            <w:rStyle w:val="Hyperlink"/>
          </w:rPr>
          <w:t>Publikationsliste</w:t>
        </w:r>
        <w:r w:rsidR="00871DEE">
          <w:rPr>
            <w:webHidden/>
          </w:rPr>
          <w:tab/>
        </w:r>
        <w:r w:rsidR="00871DEE">
          <w:rPr>
            <w:webHidden/>
          </w:rPr>
          <w:fldChar w:fldCharType="begin"/>
        </w:r>
        <w:r w:rsidR="00871DEE">
          <w:rPr>
            <w:webHidden/>
          </w:rPr>
          <w:instrText xml:space="preserve"> PAGEREF _Toc7715653 \h </w:instrText>
        </w:r>
        <w:r w:rsidR="00871DEE">
          <w:rPr>
            <w:webHidden/>
          </w:rPr>
        </w:r>
        <w:r w:rsidR="00871DEE">
          <w:rPr>
            <w:webHidden/>
          </w:rPr>
          <w:fldChar w:fldCharType="separate"/>
        </w:r>
        <w:r w:rsidR="00871DEE">
          <w:rPr>
            <w:webHidden/>
          </w:rPr>
          <w:t>101</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54" w:history="1">
        <w:r w:rsidR="00871DEE" w:rsidRPr="00D5732F">
          <w:rPr>
            <w:rStyle w:val="Hyperlink"/>
            <w:b/>
            <w:bCs/>
            <w:noProof/>
          </w:rPr>
          <w:t>8.1.1</w:t>
        </w:r>
        <w:r w:rsidR="00871DEE">
          <w:rPr>
            <w:rFonts w:asciiTheme="minorHAnsi" w:hAnsiTheme="minorHAnsi" w:cstheme="minorBidi"/>
            <w:smallCaps w:val="0"/>
            <w:noProof/>
            <w:color w:val="auto"/>
            <w:sz w:val="22"/>
            <w:lang w:val="de-DE" w:eastAsia="de-DE"/>
          </w:rPr>
          <w:tab/>
        </w:r>
        <w:r w:rsidR="00871DEE" w:rsidRPr="00D5732F">
          <w:rPr>
            <w:rStyle w:val="Hyperlink"/>
            <w:b/>
            <w:bCs/>
            <w:noProof/>
          </w:rPr>
          <w:t>Fachzeitschriften (Full papers)</w:t>
        </w:r>
        <w:r w:rsidR="00871DEE">
          <w:rPr>
            <w:noProof/>
            <w:webHidden/>
          </w:rPr>
          <w:tab/>
        </w:r>
        <w:r w:rsidR="00871DEE">
          <w:rPr>
            <w:noProof/>
            <w:webHidden/>
          </w:rPr>
          <w:fldChar w:fldCharType="begin"/>
        </w:r>
        <w:r w:rsidR="00871DEE">
          <w:rPr>
            <w:noProof/>
            <w:webHidden/>
          </w:rPr>
          <w:instrText xml:space="preserve"> PAGEREF _Toc7715654 \h </w:instrText>
        </w:r>
        <w:r w:rsidR="00871DEE">
          <w:rPr>
            <w:noProof/>
            <w:webHidden/>
          </w:rPr>
        </w:r>
        <w:r w:rsidR="00871DEE">
          <w:rPr>
            <w:noProof/>
            <w:webHidden/>
          </w:rPr>
          <w:fldChar w:fldCharType="separate"/>
        </w:r>
        <w:r w:rsidR="00871DEE">
          <w:rPr>
            <w:noProof/>
            <w:webHidden/>
          </w:rPr>
          <w:t>101</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55" w:history="1">
        <w:r w:rsidR="00871DEE" w:rsidRPr="00D5732F">
          <w:rPr>
            <w:rStyle w:val="Hyperlink"/>
            <w:b/>
            <w:bCs/>
            <w:noProof/>
          </w:rPr>
          <w:t>8.1.2</w:t>
        </w:r>
        <w:r w:rsidR="00871DEE">
          <w:rPr>
            <w:rFonts w:asciiTheme="minorHAnsi" w:hAnsiTheme="minorHAnsi" w:cstheme="minorBidi"/>
            <w:smallCaps w:val="0"/>
            <w:noProof/>
            <w:color w:val="auto"/>
            <w:sz w:val="22"/>
            <w:lang w:val="de-DE" w:eastAsia="de-DE"/>
          </w:rPr>
          <w:tab/>
        </w:r>
        <w:r w:rsidR="00871DEE" w:rsidRPr="00D5732F">
          <w:rPr>
            <w:rStyle w:val="Hyperlink"/>
            <w:b/>
            <w:bCs/>
            <w:noProof/>
          </w:rPr>
          <w:t>Konferenz-Proceedings (Full paper)</w:t>
        </w:r>
        <w:r w:rsidR="00871DEE">
          <w:rPr>
            <w:noProof/>
            <w:webHidden/>
          </w:rPr>
          <w:tab/>
        </w:r>
        <w:r w:rsidR="00871DEE">
          <w:rPr>
            <w:noProof/>
            <w:webHidden/>
          </w:rPr>
          <w:fldChar w:fldCharType="begin"/>
        </w:r>
        <w:r w:rsidR="00871DEE">
          <w:rPr>
            <w:noProof/>
            <w:webHidden/>
          </w:rPr>
          <w:instrText xml:space="preserve"> PAGEREF _Toc7715655 \h </w:instrText>
        </w:r>
        <w:r w:rsidR="00871DEE">
          <w:rPr>
            <w:noProof/>
            <w:webHidden/>
          </w:rPr>
        </w:r>
        <w:r w:rsidR="00871DEE">
          <w:rPr>
            <w:noProof/>
            <w:webHidden/>
          </w:rPr>
          <w:fldChar w:fldCharType="separate"/>
        </w:r>
        <w:r w:rsidR="00871DEE">
          <w:rPr>
            <w:noProof/>
            <w:webHidden/>
          </w:rPr>
          <w:t>101</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56" w:history="1">
        <w:r w:rsidR="00871DEE" w:rsidRPr="00D5732F">
          <w:rPr>
            <w:rStyle w:val="Hyperlink"/>
            <w:b/>
            <w:bCs/>
            <w:noProof/>
          </w:rPr>
          <w:t>8.1.3</w:t>
        </w:r>
        <w:r w:rsidR="00871DEE">
          <w:rPr>
            <w:rFonts w:asciiTheme="minorHAnsi" w:hAnsiTheme="minorHAnsi" w:cstheme="minorBidi"/>
            <w:smallCaps w:val="0"/>
            <w:noProof/>
            <w:color w:val="auto"/>
            <w:sz w:val="22"/>
            <w:lang w:val="de-DE" w:eastAsia="de-DE"/>
          </w:rPr>
          <w:tab/>
        </w:r>
        <w:r w:rsidR="00871DEE" w:rsidRPr="00D5732F">
          <w:rPr>
            <w:rStyle w:val="Hyperlink"/>
            <w:b/>
            <w:bCs/>
            <w:noProof/>
          </w:rPr>
          <w:t>Posterpräsentationen</w:t>
        </w:r>
        <w:r w:rsidR="00871DEE">
          <w:rPr>
            <w:noProof/>
            <w:webHidden/>
          </w:rPr>
          <w:tab/>
        </w:r>
        <w:r w:rsidR="00871DEE">
          <w:rPr>
            <w:noProof/>
            <w:webHidden/>
          </w:rPr>
          <w:fldChar w:fldCharType="begin"/>
        </w:r>
        <w:r w:rsidR="00871DEE">
          <w:rPr>
            <w:noProof/>
            <w:webHidden/>
          </w:rPr>
          <w:instrText xml:space="preserve"> PAGEREF _Toc7715656 \h </w:instrText>
        </w:r>
        <w:r w:rsidR="00871DEE">
          <w:rPr>
            <w:noProof/>
            <w:webHidden/>
          </w:rPr>
        </w:r>
        <w:r w:rsidR="00871DEE">
          <w:rPr>
            <w:noProof/>
            <w:webHidden/>
          </w:rPr>
          <w:fldChar w:fldCharType="separate"/>
        </w:r>
        <w:r w:rsidR="00871DEE">
          <w:rPr>
            <w:noProof/>
            <w:webHidden/>
          </w:rPr>
          <w:t>102</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57" w:history="1">
        <w:r w:rsidR="00871DEE" w:rsidRPr="00D5732F">
          <w:rPr>
            <w:rStyle w:val="Hyperlink"/>
            <w:b/>
            <w:bCs/>
            <w:noProof/>
          </w:rPr>
          <w:t>8.1.4</w:t>
        </w:r>
        <w:r w:rsidR="00871DEE">
          <w:rPr>
            <w:rFonts w:asciiTheme="minorHAnsi" w:hAnsiTheme="minorHAnsi" w:cstheme="minorBidi"/>
            <w:smallCaps w:val="0"/>
            <w:noProof/>
            <w:color w:val="auto"/>
            <w:sz w:val="22"/>
            <w:lang w:val="de-DE" w:eastAsia="de-DE"/>
          </w:rPr>
          <w:tab/>
        </w:r>
        <w:r w:rsidR="00871DEE" w:rsidRPr="00D5732F">
          <w:rPr>
            <w:rStyle w:val="Hyperlink"/>
            <w:b/>
            <w:bCs/>
            <w:noProof/>
          </w:rPr>
          <w:t>Vorträge</w:t>
        </w:r>
        <w:r w:rsidR="00871DEE">
          <w:rPr>
            <w:noProof/>
            <w:webHidden/>
          </w:rPr>
          <w:tab/>
        </w:r>
        <w:r w:rsidR="00871DEE">
          <w:rPr>
            <w:noProof/>
            <w:webHidden/>
          </w:rPr>
          <w:fldChar w:fldCharType="begin"/>
        </w:r>
        <w:r w:rsidR="00871DEE">
          <w:rPr>
            <w:noProof/>
            <w:webHidden/>
          </w:rPr>
          <w:instrText xml:space="preserve"> PAGEREF _Toc7715657 \h </w:instrText>
        </w:r>
        <w:r w:rsidR="00871DEE">
          <w:rPr>
            <w:noProof/>
            <w:webHidden/>
          </w:rPr>
        </w:r>
        <w:r w:rsidR="00871DEE">
          <w:rPr>
            <w:noProof/>
            <w:webHidden/>
          </w:rPr>
          <w:fldChar w:fldCharType="separate"/>
        </w:r>
        <w:r w:rsidR="00871DEE">
          <w:rPr>
            <w:noProof/>
            <w:webHidden/>
          </w:rPr>
          <w:t>102</w:t>
        </w:r>
        <w:r w:rsidR="00871DEE">
          <w:rPr>
            <w:noProof/>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58" w:history="1">
        <w:r w:rsidR="00871DEE" w:rsidRPr="00D5732F">
          <w:rPr>
            <w:rStyle w:val="Hyperlink"/>
            <w:b/>
            <w:bCs/>
            <w:noProof/>
          </w:rPr>
          <w:t>8.1.5</w:t>
        </w:r>
        <w:r w:rsidR="00871DEE">
          <w:rPr>
            <w:rFonts w:asciiTheme="minorHAnsi" w:hAnsiTheme="minorHAnsi" w:cstheme="minorBidi"/>
            <w:smallCaps w:val="0"/>
            <w:noProof/>
            <w:color w:val="auto"/>
            <w:sz w:val="22"/>
            <w:lang w:val="de-DE" w:eastAsia="de-DE"/>
          </w:rPr>
          <w:tab/>
        </w:r>
        <w:r w:rsidR="00871DEE" w:rsidRPr="00D5732F">
          <w:rPr>
            <w:rStyle w:val="Hyperlink"/>
            <w:b/>
            <w:bCs/>
            <w:noProof/>
          </w:rPr>
          <w:t>Master-Arbeiten</w:t>
        </w:r>
        <w:r w:rsidR="00871DEE">
          <w:rPr>
            <w:noProof/>
            <w:webHidden/>
          </w:rPr>
          <w:tab/>
        </w:r>
        <w:r w:rsidR="00871DEE">
          <w:rPr>
            <w:noProof/>
            <w:webHidden/>
          </w:rPr>
          <w:fldChar w:fldCharType="begin"/>
        </w:r>
        <w:r w:rsidR="00871DEE">
          <w:rPr>
            <w:noProof/>
            <w:webHidden/>
          </w:rPr>
          <w:instrText xml:space="preserve"> PAGEREF _Toc7715658 \h </w:instrText>
        </w:r>
        <w:r w:rsidR="00871DEE">
          <w:rPr>
            <w:noProof/>
            <w:webHidden/>
          </w:rPr>
        </w:r>
        <w:r w:rsidR="00871DEE">
          <w:rPr>
            <w:noProof/>
            <w:webHidden/>
          </w:rPr>
          <w:fldChar w:fldCharType="separate"/>
        </w:r>
        <w:r w:rsidR="00871DEE">
          <w:rPr>
            <w:noProof/>
            <w:webHidden/>
          </w:rPr>
          <w:t>103</w:t>
        </w:r>
        <w:r w:rsidR="00871DEE">
          <w:rPr>
            <w:noProof/>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59" w:history="1">
        <w:r w:rsidR="00871DEE" w:rsidRPr="00D5732F">
          <w:rPr>
            <w:rStyle w:val="Hyperlink"/>
          </w:rPr>
          <w:t>8.2</w:t>
        </w:r>
        <w:r w:rsidR="00871DEE">
          <w:rPr>
            <w:rFonts w:asciiTheme="minorHAnsi" w:hAnsiTheme="minorHAnsi" w:cstheme="minorBidi"/>
            <w:caps w:val="0"/>
            <w:color w:val="auto"/>
            <w:sz w:val="22"/>
            <w:szCs w:val="22"/>
            <w:lang w:val="de-DE" w:eastAsia="de-DE"/>
          </w:rPr>
          <w:tab/>
        </w:r>
        <w:r w:rsidR="00871DEE" w:rsidRPr="00D5732F">
          <w:rPr>
            <w:rStyle w:val="Hyperlink"/>
          </w:rPr>
          <w:t>Im Rahmen des Projektes durchgeführte masterarbeiten</w:t>
        </w:r>
        <w:r w:rsidR="00871DEE">
          <w:rPr>
            <w:webHidden/>
          </w:rPr>
          <w:tab/>
        </w:r>
        <w:r w:rsidR="00871DEE">
          <w:rPr>
            <w:webHidden/>
          </w:rPr>
          <w:fldChar w:fldCharType="begin"/>
        </w:r>
        <w:r w:rsidR="00871DEE">
          <w:rPr>
            <w:webHidden/>
          </w:rPr>
          <w:instrText xml:space="preserve"> PAGEREF _Toc7715659 \h </w:instrText>
        </w:r>
        <w:r w:rsidR="00871DEE">
          <w:rPr>
            <w:webHidden/>
          </w:rPr>
        </w:r>
        <w:r w:rsidR="00871DEE">
          <w:rPr>
            <w:webHidden/>
          </w:rPr>
          <w:fldChar w:fldCharType="separate"/>
        </w:r>
        <w:r w:rsidR="00871DEE">
          <w:rPr>
            <w:webHidden/>
          </w:rPr>
          <w:t>104</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60" w:history="1">
        <w:r w:rsidR="00871DEE" w:rsidRPr="00D5732F">
          <w:rPr>
            <w:rStyle w:val="Hyperlink"/>
            <w:noProof/>
          </w:rPr>
          <w:t>8.2.1</w:t>
        </w:r>
        <w:r w:rsidR="00871DEE">
          <w:rPr>
            <w:rFonts w:asciiTheme="minorHAnsi" w:hAnsiTheme="minorHAnsi" w:cstheme="minorBidi"/>
            <w:smallCaps w:val="0"/>
            <w:noProof/>
            <w:color w:val="auto"/>
            <w:sz w:val="22"/>
            <w:lang w:val="de-DE" w:eastAsia="de-DE"/>
          </w:rPr>
          <w:tab/>
        </w:r>
        <w:r w:rsidR="00871DEE" w:rsidRPr="00D5732F">
          <w:rPr>
            <w:rStyle w:val="Hyperlink"/>
            <w:noProof/>
          </w:rPr>
          <w:t>liste der an der Uni innsbruck durchgeführten Masterarbeiten</w:t>
        </w:r>
        <w:r w:rsidR="00871DEE">
          <w:rPr>
            <w:noProof/>
            <w:webHidden/>
          </w:rPr>
          <w:tab/>
        </w:r>
        <w:r w:rsidR="00871DEE">
          <w:rPr>
            <w:noProof/>
            <w:webHidden/>
          </w:rPr>
          <w:fldChar w:fldCharType="begin"/>
        </w:r>
        <w:r w:rsidR="00871DEE">
          <w:rPr>
            <w:noProof/>
            <w:webHidden/>
          </w:rPr>
          <w:instrText xml:space="preserve"> PAGEREF _Toc7715660 \h </w:instrText>
        </w:r>
        <w:r w:rsidR="00871DEE">
          <w:rPr>
            <w:noProof/>
            <w:webHidden/>
          </w:rPr>
        </w:r>
        <w:r w:rsidR="00871DEE">
          <w:rPr>
            <w:noProof/>
            <w:webHidden/>
          </w:rPr>
          <w:fldChar w:fldCharType="separate"/>
        </w:r>
        <w:r w:rsidR="00871DEE">
          <w:rPr>
            <w:noProof/>
            <w:webHidden/>
          </w:rPr>
          <w:t>104</w:t>
        </w:r>
        <w:r w:rsidR="00871DEE">
          <w:rPr>
            <w:noProof/>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661" w:history="1">
        <w:r w:rsidR="00871DEE" w:rsidRPr="00D5732F">
          <w:rPr>
            <w:rStyle w:val="Hyperlink"/>
            <w:lang w:val="en-US"/>
          </w:rPr>
          <w:t>8.2.1.1</w:t>
        </w:r>
        <w:r w:rsidR="00871DEE">
          <w:rPr>
            <w:rFonts w:asciiTheme="minorHAnsi" w:hAnsiTheme="minorHAnsi" w:cstheme="minorBidi"/>
            <w:color w:val="auto"/>
            <w:sz w:val="22"/>
            <w:szCs w:val="22"/>
            <w:lang w:val="de-DE" w:eastAsia="de-DE"/>
          </w:rPr>
          <w:tab/>
        </w:r>
        <w:r w:rsidR="00871DEE" w:rsidRPr="00D5732F">
          <w:rPr>
            <w:rStyle w:val="Hyperlink"/>
            <w:lang w:val="en-US"/>
          </w:rPr>
          <w:t>Pabst, Christopher Oliver (2018)</w:t>
        </w:r>
        <w:r w:rsidR="00871DEE">
          <w:rPr>
            <w:webHidden/>
          </w:rPr>
          <w:tab/>
        </w:r>
        <w:r w:rsidR="00871DEE">
          <w:rPr>
            <w:webHidden/>
          </w:rPr>
          <w:fldChar w:fldCharType="begin"/>
        </w:r>
        <w:r w:rsidR="00871DEE">
          <w:rPr>
            <w:webHidden/>
          </w:rPr>
          <w:instrText xml:space="preserve"> PAGEREF _Toc7715661 \h </w:instrText>
        </w:r>
        <w:r w:rsidR="00871DEE">
          <w:rPr>
            <w:webHidden/>
          </w:rPr>
        </w:r>
        <w:r w:rsidR="00871DEE">
          <w:rPr>
            <w:webHidden/>
          </w:rPr>
          <w:fldChar w:fldCharType="separate"/>
        </w:r>
        <w:r w:rsidR="00871DEE">
          <w:rPr>
            <w:webHidden/>
          </w:rPr>
          <w:t>104</w:t>
        </w:r>
        <w:r w:rsidR="00871DEE">
          <w:rPr>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662" w:history="1">
        <w:r w:rsidR="00871DEE" w:rsidRPr="00D5732F">
          <w:rPr>
            <w:rStyle w:val="Hyperlink"/>
          </w:rPr>
          <w:t>8.2.1.2</w:t>
        </w:r>
        <w:r w:rsidR="00871DEE">
          <w:rPr>
            <w:rFonts w:asciiTheme="minorHAnsi" w:hAnsiTheme="minorHAnsi" w:cstheme="minorBidi"/>
            <w:color w:val="auto"/>
            <w:sz w:val="22"/>
            <w:szCs w:val="22"/>
            <w:lang w:val="de-DE" w:eastAsia="de-DE"/>
          </w:rPr>
          <w:tab/>
        </w:r>
        <w:r w:rsidR="00871DEE" w:rsidRPr="00D5732F">
          <w:rPr>
            <w:rStyle w:val="Hyperlink"/>
          </w:rPr>
          <w:t>Schweisgut Martina (2018)</w:t>
        </w:r>
        <w:r w:rsidR="00871DEE">
          <w:rPr>
            <w:webHidden/>
          </w:rPr>
          <w:tab/>
        </w:r>
        <w:r w:rsidR="00871DEE">
          <w:rPr>
            <w:webHidden/>
          </w:rPr>
          <w:fldChar w:fldCharType="begin"/>
        </w:r>
        <w:r w:rsidR="00871DEE">
          <w:rPr>
            <w:webHidden/>
          </w:rPr>
          <w:instrText xml:space="preserve"> PAGEREF _Toc7715662 \h </w:instrText>
        </w:r>
        <w:r w:rsidR="00871DEE">
          <w:rPr>
            <w:webHidden/>
          </w:rPr>
        </w:r>
        <w:r w:rsidR="00871DEE">
          <w:rPr>
            <w:webHidden/>
          </w:rPr>
          <w:fldChar w:fldCharType="separate"/>
        </w:r>
        <w:r w:rsidR="00871DEE">
          <w:rPr>
            <w:webHidden/>
          </w:rPr>
          <w:t>105</w:t>
        </w:r>
        <w:r w:rsidR="00871DEE">
          <w:rPr>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663" w:history="1">
        <w:r w:rsidR="00871DEE" w:rsidRPr="00D5732F">
          <w:rPr>
            <w:rStyle w:val="Hyperlink"/>
            <w:lang w:val="en-US"/>
          </w:rPr>
          <w:t>8.2.1.3</w:t>
        </w:r>
        <w:r w:rsidR="00871DEE">
          <w:rPr>
            <w:rFonts w:asciiTheme="minorHAnsi" w:hAnsiTheme="minorHAnsi" w:cstheme="minorBidi"/>
            <w:color w:val="auto"/>
            <w:sz w:val="22"/>
            <w:szCs w:val="22"/>
            <w:lang w:val="de-DE" w:eastAsia="de-DE"/>
          </w:rPr>
          <w:tab/>
        </w:r>
        <w:r w:rsidR="00871DEE" w:rsidRPr="00D5732F">
          <w:rPr>
            <w:rStyle w:val="Hyperlink"/>
            <w:lang w:val="en-US"/>
          </w:rPr>
          <w:t>Zottele, Maria (2017)</w:t>
        </w:r>
        <w:r w:rsidR="00871DEE">
          <w:rPr>
            <w:webHidden/>
          </w:rPr>
          <w:tab/>
        </w:r>
        <w:r w:rsidR="00871DEE">
          <w:rPr>
            <w:webHidden/>
          </w:rPr>
          <w:fldChar w:fldCharType="begin"/>
        </w:r>
        <w:r w:rsidR="00871DEE">
          <w:rPr>
            <w:webHidden/>
          </w:rPr>
          <w:instrText xml:space="preserve"> PAGEREF _Toc7715663 \h </w:instrText>
        </w:r>
        <w:r w:rsidR="00871DEE">
          <w:rPr>
            <w:webHidden/>
          </w:rPr>
        </w:r>
        <w:r w:rsidR="00871DEE">
          <w:rPr>
            <w:webHidden/>
          </w:rPr>
          <w:fldChar w:fldCharType="separate"/>
        </w:r>
        <w:r w:rsidR="00871DEE">
          <w:rPr>
            <w:webHidden/>
          </w:rPr>
          <w:t>106</w:t>
        </w:r>
        <w:r w:rsidR="00871DEE">
          <w:rPr>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664" w:history="1">
        <w:r w:rsidR="00871DEE" w:rsidRPr="00D5732F">
          <w:rPr>
            <w:rStyle w:val="Hyperlink"/>
          </w:rPr>
          <w:t>8.2.1.4</w:t>
        </w:r>
        <w:r w:rsidR="00871DEE">
          <w:rPr>
            <w:rFonts w:asciiTheme="minorHAnsi" w:hAnsiTheme="minorHAnsi" w:cstheme="minorBidi"/>
            <w:color w:val="auto"/>
            <w:sz w:val="22"/>
            <w:szCs w:val="22"/>
            <w:lang w:val="de-DE" w:eastAsia="de-DE"/>
          </w:rPr>
          <w:tab/>
        </w:r>
        <w:r w:rsidR="00871DEE" w:rsidRPr="00D5732F">
          <w:rPr>
            <w:rStyle w:val="Hyperlink"/>
          </w:rPr>
          <w:t>G</w:t>
        </w:r>
        <w:r w:rsidR="00871DEE" w:rsidRPr="00D5732F">
          <w:rPr>
            <w:rStyle w:val="Hyperlink"/>
            <w:lang w:val="de-DE"/>
          </w:rPr>
          <w:t>ruber, Alexandra (2019)</w:t>
        </w:r>
        <w:r w:rsidR="00871DEE">
          <w:rPr>
            <w:webHidden/>
          </w:rPr>
          <w:tab/>
        </w:r>
        <w:r w:rsidR="00871DEE">
          <w:rPr>
            <w:webHidden/>
          </w:rPr>
          <w:fldChar w:fldCharType="begin"/>
        </w:r>
        <w:r w:rsidR="00871DEE">
          <w:rPr>
            <w:webHidden/>
          </w:rPr>
          <w:instrText xml:space="preserve"> PAGEREF _Toc7715664 \h </w:instrText>
        </w:r>
        <w:r w:rsidR="00871DEE">
          <w:rPr>
            <w:webHidden/>
          </w:rPr>
        </w:r>
        <w:r w:rsidR="00871DEE">
          <w:rPr>
            <w:webHidden/>
          </w:rPr>
          <w:fldChar w:fldCharType="separate"/>
        </w:r>
        <w:r w:rsidR="00871DEE">
          <w:rPr>
            <w:webHidden/>
          </w:rPr>
          <w:t>107</w:t>
        </w:r>
        <w:r w:rsidR="00871DEE">
          <w:rPr>
            <w:webHidden/>
          </w:rPr>
          <w:fldChar w:fldCharType="end"/>
        </w:r>
      </w:hyperlink>
    </w:p>
    <w:p w:rsidR="00871DEE" w:rsidRDefault="00ED396A">
      <w:pPr>
        <w:pStyle w:val="Verzeichnis3"/>
        <w:rPr>
          <w:rFonts w:asciiTheme="minorHAnsi" w:hAnsiTheme="minorHAnsi" w:cstheme="minorBidi"/>
          <w:smallCaps w:val="0"/>
          <w:noProof/>
          <w:color w:val="auto"/>
          <w:sz w:val="22"/>
          <w:lang w:val="de-DE" w:eastAsia="de-DE"/>
        </w:rPr>
      </w:pPr>
      <w:hyperlink w:anchor="_Toc7715665" w:history="1">
        <w:r w:rsidR="00871DEE" w:rsidRPr="00D5732F">
          <w:rPr>
            <w:rStyle w:val="Hyperlink"/>
            <w:noProof/>
          </w:rPr>
          <w:t>8.2.2</w:t>
        </w:r>
        <w:r w:rsidR="00871DEE">
          <w:rPr>
            <w:rFonts w:asciiTheme="minorHAnsi" w:hAnsiTheme="minorHAnsi" w:cstheme="minorBidi"/>
            <w:smallCaps w:val="0"/>
            <w:noProof/>
            <w:color w:val="auto"/>
            <w:sz w:val="22"/>
            <w:lang w:val="de-DE" w:eastAsia="de-DE"/>
          </w:rPr>
          <w:tab/>
        </w:r>
        <w:r w:rsidR="00871DEE" w:rsidRPr="00D5732F">
          <w:rPr>
            <w:rStyle w:val="Hyperlink"/>
            <w:noProof/>
          </w:rPr>
          <w:t>Liste der an der TU Graz im Rahmen des projektes diacont durchgeführten Masterarbeiten</w:t>
        </w:r>
        <w:r w:rsidR="00871DEE">
          <w:rPr>
            <w:noProof/>
            <w:webHidden/>
          </w:rPr>
          <w:tab/>
        </w:r>
        <w:r w:rsidR="00871DEE">
          <w:rPr>
            <w:noProof/>
            <w:webHidden/>
          </w:rPr>
          <w:fldChar w:fldCharType="begin"/>
        </w:r>
        <w:r w:rsidR="00871DEE">
          <w:rPr>
            <w:noProof/>
            <w:webHidden/>
          </w:rPr>
          <w:instrText xml:space="preserve"> PAGEREF _Toc7715665 \h </w:instrText>
        </w:r>
        <w:r w:rsidR="00871DEE">
          <w:rPr>
            <w:noProof/>
            <w:webHidden/>
          </w:rPr>
        </w:r>
        <w:r w:rsidR="00871DEE">
          <w:rPr>
            <w:noProof/>
            <w:webHidden/>
          </w:rPr>
          <w:fldChar w:fldCharType="separate"/>
        </w:r>
        <w:r w:rsidR="00871DEE">
          <w:rPr>
            <w:noProof/>
            <w:webHidden/>
          </w:rPr>
          <w:t>108</w:t>
        </w:r>
        <w:r w:rsidR="00871DEE">
          <w:rPr>
            <w:noProof/>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666" w:history="1">
        <w:r w:rsidR="00871DEE" w:rsidRPr="00D5732F">
          <w:rPr>
            <w:rStyle w:val="Hyperlink"/>
          </w:rPr>
          <w:t>8.2.2.1</w:t>
        </w:r>
        <w:r w:rsidR="00871DEE">
          <w:rPr>
            <w:rFonts w:asciiTheme="minorHAnsi" w:hAnsiTheme="minorHAnsi" w:cstheme="minorBidi"/>
            <w:color w:val="auto"/>
            <w:sz w:val="22"/>
            <w:szCs w:val="22"/>
            <w:lang w:val="de-DE" w:eastAsia="de-DE"/>
          </w:rPr>
          <w:tab/>
        </w:r>
        <w:r w:rsidR="00871DEE" w:rsidRPr="00D5732F">
          <w:rPr>
            <w:rStyle w:val="Hyperlink"/>
          </w:rPr>
          <w:t>Laireiter, Christina (2016)</w:t>
        </w:r>
        <w:r w:rsidR="00871DEE">
          <w:rPr>
            <w:webHidden/>
          </w:rPr>
          <w:tab/>
        </w:r>
        <w:r w:rsidR="00871DEE">
          <w:rPr>
            <w:webHidden/>
          </w:rPr>
          <w:fldChar w:fldCharType="begin"/>
        </w:r>
        <w:r w:rsidR="00871DEE">
          <w:rPr>
            <w:webHidden/>
          </w:rPr>
          <w:instrText xml:space="preserve"> PAGEREF _Toc7715666 \h </w:instrText>
        </w:r>
        <w:r w:rsidR="00871DEE">
          <w:rPr>
            <w:webHidden/>
          </w:rPr>
        </w:r>
        <w:r w:rsidR="00871DEE">
          <w:rPr>
            <w:webHidden/>
          </w:rPr>
          <w:fldChar w:fldCharType="separate"/>
        </w:r>
        <w:r w:rsidR="00871DEE">
          <w:rPr>
            <w:webHidden/>
          </w:rPr>
          <w:t>108</w:t>
        </w:r>
        <w:r w:rsidR="00871DEE">
          <w:rPr>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667" w:history="1">
        <w:r w:rsidR="00871DEE" w:rsidRPr="00D5732F">
          <w:rPr>
            <w:rStyle w:val="Hyperlink"/>
          </w:rPr>
          <w:t>8.2.2.2</w:t>
        </w:r>
        <w:r w:rsidR="00871DEE">
          <w:rPr>
            <w:rFonts w:asciiTheme="minorHAnsi" w:hAnsiTheme="minorHAnsi" w:cstheme="minorBidi"/>
            <w:color w:val="auto"/>
            <w:sz w:val="22"/>
            <w:szCs w:val="22"/>
            <w:lang w:val="de-DE" w:eastAsia="de-DE"/>
          </w:rPr>
          <w:tab/>
        </w:r>
        <w:r w:rsidR="00871DEE" w:rsidRPr="00D5732F">
          <w:rPr>
            <w:rStyle w:val="Hyperlink"/>
          </w:rPr>
          <w:t>Murgu, Octavian (2017)</w:t>
        </w:r>
        <w:r w:rsidR="00871DEE">
          <w:rPr>
            <w:webHidden/>
          </w:rPr>
          <w:tab/>
        </w:r>
        <w:r w:rsidR="00871DEE">
          <w:rPr>
            <w:webHidden/>
          </w:rPr>
          <w:fldChar w:fldCharType="begin"/>
        </w:r>
        <w:r w:rsidR="00871DEE">
          <w:rPr>
            <w:webHidden/>
          </w:rPr>
          <w:instrText xml:space="preserve"> PAGEREF _Toc7715667 \h </w:instrText>
        </w:r>
        <w:r w:rsidR="00871DEE">
          <w:rPr>
            <w:webHidden/>
          </w:rPr>
        </w:r>
        <w:r w:rsidR="00871DEE">
          <w:rPr>
            <w:webHidden/>
          </w:rPr>
          <w:fldChar w:fldCharType="separate"/>
        </w:r>
        <w:r w:rsidR="00871DEE">
          <w:rPr>
            <w:webHidden/>
          </w:rPr>
          <w:t>109</w:t>
        </w:r>
        <w:r w:rsidR="00871DEE">
          <w:rPr>
            <w:webHidden/>
          </w:rPr>
          <w:fldChar w:fldCharType="end"/>
        </w:r>
      </w:hyperlink>
    </w:p>
    <w:p w:rsidR="00871DEE" w:rsidRDefault="00ED396A">
      <w:pPr>
        <w:pStyle w:val="Verzeichnis4"/>
        <w:rPr>
          <w:rFonts w:asciiTheme="minorHAnsi" w:hAnsiTheme="minorHAnsi" w:cstheme="minorBidi"/>
          <w:color w:val="auto"/>
          <w:sz w:val="22"/>
          <w:szCs w:val="22"/>
          <w:lang w:val="de-DE" w:eastAsia="de-DE"/>
        </w:rPr>
      </w:pPr>
      <w:hyperlink w:anchor="_Toc7715668" w:history="1">
        <w:r w:rsidR="00871DEE" w:rsidRPr="00D5732F">
          <w:rPr>
            <w:rStyle w:val="Hyperlink"/>
          </w:rPr>
          <w:t>8.2.2.3</w:t>
        </w:r>
        <w:r w:rsidR="00871DEE">
          <w:rPr>
            <w:rFonts w:asciiTheme="minorHAnsi" w:hAnsiTheme="minorHAnsi" w:cstheme="minorBidi"/>
            <w:color w:val="auto"/>
            <w:sz w:val="22"/>
            <w:szCs w:val="22"/>
            <w:lang w:val="de-DE" w:eastAsia="de-DE"/>
          </w:rPr>
          <w:tab/>
        </w:r>
        <w:r w:rsidR="00871DEE" w:rsidRPr="00D5732F">
          <w:rPr>
            <w:rStyle w:val="Hyperlink"/>
          </w:rPr>
          <w:t>Ellmaier, Katrin (2018)</w:t>
        </w:r>
        <w:r w:rsidR="00871DEE">
          <w:rPr>
            <w:webHidden/>
          </w:rPr>
          <w:tab/>
        </w:r>
        <w:r w:rsidR="00871DEE">
          <w:rPr>
            <w:webHidden/>
          </w:rPr>
          <w:fldChar w:fldCharType="begin"/>
        </w:r>
        <w:r w:rsidR="00871DEE">
          <w:rPr>
            <w:webHidden/>
          </w:rPr>
          <w:instrText xml:space="preserve"> PAGEREF _Toc7715668 \h </w:instrText>
        </w:r>
        <w:r w:rsidR="00871DEE">
          <w:rPr>
            <w:webHidden/>
          </w:rPr>
        </w:r>
        <w:r w:rsidR="00871DEE">
          <w:rPr>
            <w:webHidden/>
          </w:rPr>
          <w:fldChar w:fldCharType="separate"/>
        </w:r>
        <w:r w:rsidR="00871DEE">
          <w:rPr>
            <w:webHidden/>
          </w:rPr>
          <w:t>110</w:t>
        </w:r>
        <w:r w:rsidR="00871DEE">
          <w:rPr>
            <w:webHidden/>
          </w:rPr>
          <w:fldChar w:fldCharType="end"/>
        </w:r>
      </w:hyperlink>
    </w:p>
    <w:p w:rsidR="00871DEE" w:rsidRDefault="00ED396A">
      <w:pPr>
        <w:pStyle w:val="Verzeichnis2"/>
        <w:rPr>
          <w:rFonts w:asciiTheme="minorHAnsi" w:hAnsiTheme="minorHAnsi" w:cstheme="minorBidi"/>
          <w:caps w:val="0"/>
          <w:color w:val="auto"/>
          <w:sz w:val="22"/>
          <w:szCs w:val="22"/>
          <w:lang w:val="de-DE" w:eastAsia="de-DE"/>
        </w:rPr>
      </w:pPr>
      <w:hyperlink w:anchor="_Toc7715669" w:history="1">
        <w:r w:rsidR="00871DEE" w:rsidRPr="00D5732F">
          <w:rPr>
            <w:rStyle w:val="Hyperlink"/>
          </w:rPr>
          <w:t>8.3</w:t>
        </w:r>
        <w:r w:rsidR="00871DEE">
          <w:rPr>
            <w:rFonts w:asciiTheme="minorHAnsi" w:hAnsiTheme="minorHAnsi" w:cstheme="minorBidi"/>
            <w:caps w:val="0"/>
            <w:color w:val="auto"/>
            <w:sz w:val="22"/>
            <w:szCs w:val="22"/>
            <w:lang w:val="de-DE" w:eastAsia="de-DE"/>
          </w:rPr>
          <w:tab/>
        </w:r>
        <w:r w:rsidR="00871DEE" w:rsidRPr="00D5732F">
          <w:rPr>
            <w:rStyle w:val="Hyperlink"/>
          </w:rPr>
          <w:t xml:space="preserve">Ziel – Ergebnisvergleich UIBK Modul 2 (Wirkstoff </w:t>
        </w:r>
        <w:r w:rsidR="00871DEE" w:rsidRPr="00D5732F">
          <w:rPr>
            <w:rStyle w:val="Hyperlink"/>
            <w:i/>
          </w:rPr>
          <w:t>Metarhizium</w:t>
        </w:r>
        <w:r w:rsidR="00871DEE" w:rsidRPr="00D5732F">
          <w:rPr>
            <w:rStyle w:val="Hyperlink"/>
          </w:rPr>
          <w:t>)</w:t>
        </w:r>
        <w:r w:rsidR="00871DEE">
          <w:rPr>
            <w:webHidden/>
          </w:rPr>
          <w:tab/>
        </w:r>
        <w:r w:rsidR="00871DEE">
          <w:rPr>
            <w:webHidden/>
          </w:rPr>
          <w:fldChar w:fldCharType="begin"/>
        </w:r>
        <w:r w:rsidR="00871DEE">
          <w:rPr>
            <w:webHidden/>
          </w:rPr>
          <w:instrText xml:space="preserve"> PAGEREF _Toc7715669 \h </w:instrText>
        </w:r>
        <w:r w:rsidR="00871DEE">
          <w:rPr>
            <w:webHidden/>
          </w:rPr>
        </w:r>
        <w:r w:rsidR="00871DEE">
          <w:rPr>
            <w:webHidden/>
          </w:rPr>
          <w:fldChar w:fldCharType="separate"/>
        </w:r>
        <w:r w:rsidR="00871DEE">
          <w:rPr>
            <w:webHidden/>
          </w:rPr>
          <w:t>111</w:t>
        </w:r>
        <w:r w:rsidR="00871DEE">
          <w:rPr>
            <w:webHidden/>
          </w:rPr>
          <w:fldChar w:fldCharType="end"/>
        </w:r>
      </w:hyperlink>
    </w:p>
    <w:p w:rsidR="00871DEE" w:rsidRDefault="00ED396A">
      <w:pPr>
        <w:pStyle w:val="Verzeichnis1"/>
        <w:rPr>
          <w:rFonts w:asciiTheme="minorHAnsi" w:hAnsiTheme="minorHAnsi" w:cstheme="minorBidi"/>
          <w:bCs w:val="0"/>
          <w:caps w:val="0"/>
          <w:color w:val="auto"/>
          <w:sz w:val="22"/>
          <w:szCs w:val="22"/>
          <w:lang w:val="de-DE" w:eastAsia="de-DE"/>
        </w:rPr>
      </w:pPr>
      <w:hyperlink w:anchor="_Toc7715670" w:history="1">
        <w:r w:rsidR="00871DEE" w:rsidRPr="00D5732F">
          <w:rPr>
            <w:rStyle w:val="Hyperlink"/>
          </w:rPr>
          <w:t>9</w:t>
        </w:r>
        <w:r w:rsidR="00871DEE">
          <w:rPr>
            <w:rFonts w:asciiTheme="minorHAnsi" w:hAnsiTheme="minorHAnsi" w:cstheme="minorBidi"/>
            <w:bCs w:val="0"/>
            <w:caps w:val="0"/>
            <w:color w:val="auto"/>
            <w:sz w:val="22"/>
            <w:szCs w:val="22"/>
            <w:lang w:val="de-DE" w:eastAsia="de-DE"/>
          </w:rPr>
          <w:tab/>
        </w:r>
        <w:r w:rsidR="00871DEE" w:rsidRPr="00D5732F">
          <w:rPr>
            <w:rStyle w:val="Hyperlink"/>
          </w:rPr>
          <w:t>Tabellenverzeichnis</w:t>
        </w:r>
        <w:r w:rsidR="00871DEE">
          <w:rPr>
            <w:webHidden/>
          </w:rPr>
          <w:tab/>
        </w:r>
        <w:r w:rsidR="00871DEE">
          <w:rPr>
            <w:webHidden/>
          </w:rPr>
          <w:fldChar w:fldCharType="begin"/>
        </w:r>
        <w:r w:rsidR="00871DEE">
          <w:rPr>
            <w:webHidden/>
          </w:rPr>
          <w:instrText xml:space="preserve"> PAGEREF _Toc7715670 \h </w:instrText>
        </w:r>
        <w:r w:rsidR="00871DEE">
          <w:rPr>
            <w:webHidden/>
          </w:rPr>
        </w:r>
        <w:r w:rsidR="00871DEE">
          <w:rPr>
            <w:webHidden/>
          </w:rPr>
          <w:fldChar w:fldCharType="separate"/>
        </w:r>
        <w:r w:rsidR="00871DEE">
          <w:rPr>
            <w:webHidden/>
          </w:rPr>
          <w:t>115</w:t>
        </w:r>
        <w:r w:rsidR="00871DEE">
          <w:rPr>
            <w:webHidden/>
          </w:rPr>
          <w:fldChar w:fldCharType="end"/>
        </w:r>
      </w:hyperlink>
    </w:p>
    <w:p w:rsidR="00871DEE" w:rsidRDefault="00ED396A">
      <w:pPr>
        <w:pStyle w:val="Verzeichnis1"/>
        <w:rPr>
          <w:rFonts w:asciiTheme="minorHAnsi" w:hAnsiTheme="minorHAnsi" w:cstheme="minorBidi"/>
          <w:bCs w:val="0"/>
          <w:caps w:val="0"/>
          <w:color w:val="auto"/>
          <w:sz w:val="22"/>
          <w:szCs w:val="22"/>
          <w:lang w:val="de-DE" w:eastAsia="de-DE"/>
        </w:rPr>
      </w:pPr>
      <w:hyperlink w:anchor="_Toc7715671" w:history="1">
        <w:r w:rsidR="00871DEE" w:rsidRPr="00D5732F">
          <w:rPr>
            <w:rStyle w:val="Hyperlink"/>
          </w:rPr>
          <w:t>10</w:t>
        </w:r>
        <w:r w:rsidR="00871DEE">
          <w:rPr>
            <w:rFonts w:asciiTheme="minorHAnsi" w:hAnsiTheme="minorHAnsi" w:cstheme="minorBidi"/>
            <w:bCs w:val="0"/>
            <w:caps w:val="0"/>
            <w:color w:val="auto"/>
            <w:sz w:val="22"/>
            <w:szCs w:val="22"/>
            <w:lang w:val="de-DE" w:eastAsia="de-DE"/>
          </w:rPr>
          <w:tab/>
        </w:r>
        <w:r w:rsidR="00871DEE" w:rsidRPr="00D5732F">
          <w:rPr>
            <w:rStyle w:val="Hyperlink"/>
          </w:rPr>
          <w:t>Abbildungsverzeichnis</w:t>
        </w:r>
        <w:r w:rsidR="00871DEE">
          <w:rPr>
            <w:webHidden/>
          </w:rPr>
          <w:tab/>
        </w:r>
        <w:r w:rsidR="00871DEE">
          <w:rPr>
            <w:webHidden/>
          </w:rPr>
          <w:fldChar w:fldCharType="begin"/>
        </w:r>
        <w:r w:rsidR="00871DEE">
          <w:rPr>
            <w:webHidden/>
          </w:rPr>
          <w:instrText xml:space="preserve"> PAGEREF _Toc7715671 \h </w:instrText>
        </w:r>
        <w:r w:rsidR="00871DEE">
          <w:rPr>
            <w:webHidden/>
          </w:rPr>
        </w:r>
        <w:r w:rsidR="00871DEE">
          <w:rPr>
            <w:webHidden/>
          </w:rPr>
          <w:fldChar w:fldCharType="separate"/>
        </w:r>
        <w:r w:rsidR="00871DEE">
          <w:rPr>
            <w:webHidden/>
          </w:rPr>
          <w:t>115</w:t>
        </w:r>
        <w:r w:rsidR="00871DEE">
          <w:rPr>
            <w:webHidden/>
          </w:rPr>
          <w:fldChar w:fldCharType="end"/>
        </w:r>
      </w:hyperlink>
    </w:p>
    <w:p w:rsidR="0038692E" w:rsidRDefault="004A6876" w:rsidP="006225BA">
      <w:pPr>
        <w:pStyle w:val="Flietext"/>
      </w:pPr>
      <w:r>
        <w:rPr>
          <w:bCs/>
          <w:caps/>
          <w:noProof/>
        </w:rPr>
        <w:fldChar w:fldCharType="end"/>
      </w:r>
    </w:p>
    <w:p w:rsidR="0046029E" w:rsidRPr="00DF229E" w:rsidRDefault="0046029E" w:rsidP="006225BA">
      <w:pPr>
        <w:pStyle w:val="Flietext"/>
        <w:sectPr w:rsidR="0046029E" w:rsidRPr="00DF229E" w:rsidSect="00DF229E">
          <w:headerReference w:type="first" r:id="rId29"/>
          <w:pgSz w:w="11900" w:h="16840"/>
          <w:pgMar w:top="1361" w:right="1361" w:bottom="1361" w:left="1361" w:header="680" w:footer="680" w:gutter="0"/>
          <w:cols w:space="708"/>
          <w:titlePg/>
        </w:sectPr>
      </w:pPr>
    </w:p>
    <w:p w:rsidR="00B410C5" w:rsidRPr="008951AF" w:rsidRDefault="00B410C5" w:rsidP="00DF038A">
      <w:pPr>
        <w:pStyle w:val="berschrift118pt"/>
        <w:numPr>
          <w:ilvl w:val="0"/>
          <w:numId w:val="11"/>
        </w:numPr>
      </w:pPr>
      <w:bookmarkStart w:id="4" w:name="_Toc7715548"/>
      <w:r w:rsidRPr="00B410C5">
        <w:t>Einleitung</w:t>
      </w:r>
      <w:bookmarkEnd w:id="4"/>
    </w:p>
    <w:p w:rsidR="00B410C5" w:rsidRDefault="00B410C5" w:rsidP="000602EE">
      <w:pPr>
        <w:pStyle w:val="FlietextEinleitung"/>
        <w:jc w:val="both"/>
      </w:pPr>
      <w:r>
        <w:rPr>
          <w:rStyle w:val="Einleitung"/>
        </w:rPr>
        <w:t xml:space="preserve">Im </w:t>
      </w:r>
      <w:r w:rsidR="00C11C7A">
        <w:rPr>
          <w:rStyle w:val="Einleitung"/>
        </w:rPr>
        <w:t xml:space="preserve">vorliegenden </w:t>
      </w:r>
      <w:r>
        <w:rPr>
          <w:rStyle w:val="Einleitung"/>
        </w:rPr>
        <w:t>Projekt wu</w:t>
      </w:r>
      <w:r w:rsidRPr="00B410C5">
        <w:rPr>
          <w:rStyle w:val="Einleitung"/>
        </w:rPr>
        <w:t>rden vier alternative biologische Verfahren zum Schutz der Maiskulturen vor dem Maiswurzelbohrer</w:t>
      </w:r>
      <w:r>
        <w:t xml:space="preserve"> (</w:t>
      </w:r>
      <w:r w:rsidRPr="00B410C5">
        <w:rPr>
          <w:i/>
        </w:rPr>
        <w:t>Diabrotica virgifera</w:t>
      </w:r>
      <w:r>
        <w:t>), dem wichtigsten Maisschädling in Europa und Nordamerika, getestet und kombiniert eingesetzt. Für das bereits zugelassene Präparat Dianem</w:t>
      </w:r>
      <w:r w:rsidR="004428DB">
        <w:t>®</w:t>
      </w:r>
      <w:r>
        <w:t xml:space="preserve"> (insektenpathogene Nematoden der Art </w:t>
      </w:r>
      <w:r w:rsidRPr="00B410C5">
        <w:rPr>
          <w:i/>
        </w:rPr>
        <w:t>Heterorhabditis bacteriophora</w:t>
      </w:r>
      <w:r>
        <w:t xml:space="preserve">) stand im Vordergrund, seine Wirkungssicherheit im Praxiseinsatz zu erhöhen, indem förderliche oder hemmende Faktoren für den erfolgreichen Einsatz herausgearbeitet wurden. Bei dem insektenpathogenen Pilz </w:t>
      </w:r>
      <w:r w:rsidRPr="00B410C5">
        <w:rPr>
          <w:i/>
        </w:rPr>
        <w:t>Metarhizium brunneum</w:t>
      </w:r>
      <w:r>
        <w:t xml:space="preserve"> (Granmet</w:t>
      </w:r>
      <w:r w:rsidR="004428DB" w:rsidRPr="004428DB">
        <w:rPr>
          <w:vertAlign w:val="superscript"/>
        </w:rPr>
        <w:t>TM</w:t>
      </w:r>
      <w:r>
        <w:t xml:space="preserve">) ging es darum, die in Laborversuchen gute Wirksamkeit nun auch in Freilandversuchen zu erhärten. Beim insektenpathogenen Pilz </w:t>
      </w:r>
      <w:r w:rsidRPr="00B410C5">
        <w:rPr>
          <w:i/>
        </w:rPr>
        <w:t xml:space="preserve">Lecanicillium lecanii </w:t>
      </w:r>
      <w:r>
        <w:t>schließlich</w:t>
      </w:r>
      <w:r w:rsidR="00980ACC">
        <w:t>, welches die Eier des Westlichen Maiswurzelbohrers befallen,</w:t>
      </w:r>
      <w:r>
        <w:t xml:space="preserve"> wurde nach ersten </w:t>
      </w:r>
      <w:r w:rsidR="00980ACC">
        <w:t>vielversprechenden</w:t>
      </w:r>
      <w:r>
        <w:t xml:space="preserve"> Laborergebnissen der</w:t>
      </w:r>
      <w:r w:rsidR="00980ACC">
        <w:t xml:space="preserve"> erste</w:t>
      </w:r>
      <w:r>
        <w:t xml:space="preserve"> Schritt ins Freiland unternommen, da hier noch keinerlei Erfahrungen vorl</w:t>
      </w:r>
      <w:r w:rsidR="007A3D13">
        <w:t>agen</w:t>
      </w:r>
      <w:r>
        <w:t>.</w:t>
      </w:r>
      <w:r w:rsidR="004428DB">
        <w:t xml:space="preserve"> </w:t>
      </w:r>
      <w:r>
        <w:t xml:space="preserve">Das Bodenbakterium </w:t>
      </w:r>
      <w:r w:rsidRPr="007A3D13">
        <w:rPr>
          <w:i/>
        </w:rPr>
        <w:t>Stenotrophomonas rhizophila</w:t>
      </w:r>
      <w:r w:rsidR="007A3D13">
        <w:t xml:space="preserve">, welches </w:t>
      </w:r>
      <w:r>
        <w:t>das Wurzelwachstum beschädigter Maiswurzeln an</w:t>
      </w:r>
      <w:r w:rsidR="007A3D13">
        <w:t>regt, sollte</w:t>
      </w:r>
      <w:r>
        <w:t xml:space="preserve"> dabei helfen, die Standfestigkeit nach bereits eingetretenem Befall am Mais zu erhöhen.</w:t>
      </w:r>
      <w:r w:rsidR="007A3D13">
        <w:t xml:space="preserve"> Dies wurde in</w:t>
      </w:r>
      <w:r w:rsidR="006C4222">
        <w:t>nerhalb von</w:t>
      </w:r>
      <w:r w:rsidR="007A3D13">
        <w:t xml:space="preserve"> Freilandversuchen überprüft.</w:t>
      </w:r>
      <w:r w:rsidR="00C11C7A">
        <w:t xml:space="preserve"> </w:t>
      </w:r>
      <w:r>
        <w:t xml:space="preserve">Während in den ersten beiden Projektjahren </w:t>
      </w:r>
      <w:r w:rsidR="007E3DE5">
        <w:t xml:space="preserve">die vier alternativen biologischen Verfahren einzeln getestet wurden, erfolgte im </w:t>
      </w:r>
      <w:r>
        <w:t>dritte</w:t>
      </w:r>
      <w:r w:rsidR="007E3DE5">
        <w:t>n</w:t>
      </w:r>
      <w:r>
        <w:t xml:space="preserve"> Projektjahr ein Kombinationsversuch </w:t>
      </w:r>
      <w:r w:rsidR="0088499B">
        <w:t>mit Dianem, GranMet</w:t>
      </w:r>
      <w:r w:rsidR="004428DB" w:rsidRPr="004428DB">
        <w:rPr>
          <w:vertAlign w:val="superscript"/>
        </w:rPr>
        <w:t>TM</w:t>
      </w:r>
      <w:r w:rsidR="004428DB">
        <w:t xml:space="preserve"> </w:t>
      </w:r>
      <w:r w:rsidR="007E3DE5">
        <w:t xml:space="preserve">und </w:t>
      </w:r>
      <w:r w:rsidR="007E3DE5" w:rsidRPr="007E3DE5">
        <w:rPr>
          <w:i/>
        </w:rPr>
        <w:t>Stenotrophomonas rhizophila</w:t>
      </w:r>
      <w:r w:rsidR="007E3DE5">
        <w:t xml:space="preserve">. </w:t>
      </w:r>
      <w:r w:rsidR="00980ACC">
        <w:t xml:space="preserve">Da </w:t>
      </w:r>
      <w:r w:rsidR="006C4222">
        <w:t>d</w:t>
      </w:r>
      <w:r w:rsidR="001175D3">
        <w:t>ie</w:t>
      </w:r>
      <w:r w:rsidR="006C4222">
        <w:t xml:space="preserve"> erste</w:t>
      </w:r>
      <w:r w:rsidR="001175D3">
        <w:t>n</w:t>
      </w:r>
      <w:r w:rsidR="006C4222">
        <w:t xml:space="preserve"> Freilandversuche mit </w:t>
      </w:r>
      <w:r w:rsidR="006C4222" w:rsidRPr="0088499B">
        <w:rPr>
          <w:i/>
        </w:rPr>
        <w:t>Lecanicillium lecanii</w:t>
      </w:r>
      <w:r w:rsidR="006C4222">
        <w:t xml:space="preserve"> </w:t>
      </w:r>
      <w:r w:rsidR="00980ACC">
        <w:t xml:space="preserve">allerdings </w:t>
      </w:r>
      <w:r w:rsidR="006C4222">
        <w:t>keine Ergebnisse lieferte</w:t>
      </w:r>
      <w:r w:rsidR="001175D3">
        <w:t>n</w:t>
      </w:r>
      <w:r w:rsidR="006C4222">
        <w:t xml:space="preserve"> </w:t>
      </w:r>
      <w:r w:rsidR="00980ACC">
        <w:t>weil</w:t>
      </w:r>
      <w:r w:rsidR="006C4222">
        <w:t xml:space="preserve"> der Pilz den Winter nicht überstand, wurde im dritten Projektjahr</w:t>
      </w:r>
      <w:r w:rsidR="0088499B">
        <w:t xml:space="preserve"> </w:t>
      </w:r>
      <w:r w:rsidR="006C4222">
        <w:t>ein Überwinterungsversuch durchgeführt</w:t>
      </w:r>
      <w:r w:rsidR="0088499B">
        <w:t>.</w:t>
      </w:r>
      <w:r w:rsidR="006C4222">
        <w:t xml:space="preserve"> </w:t>
      </w:r>
      <w:r w:rsidR="001175D3">
        <w:t>Dieser sollte dazu beitragen jene Faktoren näher zu bestimmen, welche die Überwinterung von entomopathogenen Pilzen im Boden beeinflussen.</w:t>
      </w:r>
    </w:p>
    <w:p w:rsidR="0088499B" w:rsidRPr="0088499B" w:rsidRDefault="0088499B" w:rsidP="0088499B">
      <w:pPr>
        <w:pStyle w:val="FlietextEinleitung"/>
      </w:pPr>
    </w:p>
    <w:p w:rsidR="00353112" w:rsidRDefault="001C7150" w:rsidP="00DF038A">
      <w:pPr>
        <w:pStyle w:val="berschrift118pt"/>
        <w:numPr>
          <w:ilvl w:val="0"/>
          <w:numId w:val="11"/>
        </w:numPr>
      </w:pPr>
      <w:bookmarkStart w:id="5" w:name="_Toc7715549"/>
      <w:r>
        <w:t>Übersicht der ergebnisse zu den vier alternativen ansätzen</w:t>
      </w:r>
      <w:bookmarkEnd w:id="5"/>
      <w:r>
        <w:t xml:space="preserve"> </w:t>
      </w:r>
    </w:p>
    <w:p w:rsidR="00706CD2" w:rsidRPr="00706CD2" w:rsidRDefault="00706CD2" w:rsidP="00706CD2">
      <w:pPr>
        <w:pStyle w:val="FlietextEinleitung"/>
      </w:pPr>
    </w:p>
    <w:p w:rsidR="001C7150" w:rsidRPr="00C11C7A" w:rsidRDefault="00457E63" w:rsidP="001C7150">
      <w:pPr>
        <w:pStyle w:val="berschrift2Grad"/>
        <w:rPr>
          <w:rStyle w:val="st"/>
        </w:rPr>
      </w:pPr>
      <w:bookmarkStart w:id="6" w:name="_Toc7715550"/>
      <w:r w:rsidRPr="00C11C7A">
        <w:rPr>
          <w:rStyle w:val="Einleitung"/>
          <w:rFonts w:eastAsiaTheme="minorEastAsia" w:cs="Times New Roman"/>
        </w:rPr>
        <w:t xml:space="preserve">Das Pilzprodukt </w:t>
      </w:r>
      <w:r w:rsidR="001C7150" w:rsidRPr="00C11C7A">
        <w:rPr>
          <w:rStyle w:val="Einleitung"/>
          <w:rFonts w:eastAsiaTheme="minorEastAsia" w:cs="Times New Roman"/>
        </w:rPr>
        <w:t>GranMet</w:t>
      </w:r>
      <w:r w:rsidR="004428DB" w:rsidRPr="00C11C7A">
        <w:rPr>
          <w:sz w:val="21"/>
          <w:szCs w:val="21"/>
          <w:vertAlign w:val="superscript"/>
        </w:rPr>
        <w:t>TM</w:t>
      </w:r>
      <w:r w:rsidR="004428DB" w:rsidRPr="00C11C7A">
        <w:rPr>
          <w:rStyle w:val="Einleitung"/>
          <w:rFonts w:eastAsiaTheme="minorEastAsia" w:cs="Times New Roman"/>
        </w:rPr>
        <w:t xml:space="preserve"> </w:t>
      </w:r>
      <w:r w:rsidRPr="00C11C7A">
        <w:rPr>
          <w:rStyle w:val="Einleitung"/>
          <w:rFonts w:eastAsiaTheme="minorEastAsia" w:cs="Times New Roman"/>
        </w:rPr>
        <w:t>(</w:t>
      </w:r>
      <w:r w:rsidRPr="00C11C7A">
        <w:rPr>
          <w:rStyle w:val="Einleitung"/>
          <w:rFonts w:eastAsiaTheme="minorEastAsia" w:cs="Times New Roman"/>
          <w:i/>
        </w:rPr>
        <w:t>Metarhizium brunneum</w:t>
      </w:r>
      <w:r w:rsidRPr="00C11C7A">
        <w:rPr>
          <w:rStyle w:val="Einleitung"/>
          <w:rFonts w:eastAsiaTheme="minorEastAsia" w:cs="Times New Roman"/>
        </w:rPr>
        <w:t>; BIPESCO5/F52)</w:t>
      </w:r>
      <w:bookmarkEnd w:id="6"/>
      <w:r w:rsidRPr="00C11C7A">
        <w:rPr>
          <w:rStyle w:val="st"/>
        </w:rPr>
        <w:t xml:space="preserve"> </w:t>
      </w:r>
    </w:p>
    <w:p w:rsidR="00C949C4" w:rsidRPr="00AF78C8" w:rsidRDefault="00C949C4" w:rsidP="000602EE">
      <w:pPr>
        <w:spacing w:before="270" w:line="270" w:lineRule="exact"/>
        <w:jc w:val="both"/>
        <w:rPr>
          <w:color w:val="000000"/>
        </w:rPr>
      </w:pPr>
      <w:r w:rsidRPr="00AF78C8">
        <w:rPr>
          <w:color w:val="000000"/>
        </w:rPr>
        <w:t xml:space="preserve">Basierend auf die durchgeführte Wirkungs- und Langzeitstudie, welche in der Pflanzsaison 2018 bzw. seit 2012 in der Steiermark durchgeführt wurde, können die bisher geltenden Erkenntnisse zur Bekämpfung des Maiswurzelbohrers </w:t>
      </w:r>
      <w:r w:rsidRPr="00AF78C8">
        <w:rPr>
          <w:i/>
          <w:color w:val="000000"/>
        </w:rPr>
        <w:t>Diabrotica v. virgifera</w:t>
      </w:r>
      <w:r w:rsidRPr="00AF78C8">
        <w:rPr>
          <w:color w:val="000000"/>
        </w:rPr>
        <w:t xml:space="preserve"> nicht nur bestätigt werden, sondern es können auch praxisrelevante Empfehlungen für Berater und Praktiker abgeleitet werden. Es hat sich gezeigt, dass</w:t>
      </w:r>
    </w:p>
    <w:p w:rsidR="00C949C4" w:rsidRPr="00EC0955" w:rsidRDefault="00C949C4" w:rsidP="000602EE">
      <w:pPr>
        <w:pStyle w:val="1Aufzhlung"/>
        <w:ind w:left="1077" w:hanging="357"/>
        <w:jc w:val="both"/>
      </w:pPr>
      <w:r w:rsidRPr="00AF78C8">
        <w:t xml:space="preserve">die Käferfangzahlen von </w:t>
      </w:r>
      <w:r w:rsidRPr="00AF78C8">
        <w:rPr>
          <w:i/>
        </w:rPr>
        <w:t>Diabrotica v. virgifera</w:t>
      </w:r>
      <w:r w:rsidRPr="00AF78C8">
        <w:t xml:space="preserve"> weiterhin in der Region Bad Radkersburg Umgebung zunehmend sind. Es wurden in der Pflanzsaison 2018 bis zu 130 Käfer pro Quadratmeter auf den unbehandelten Maisackerflächen, mit dem etablierten Schlupfkäfigsystem, gefangen. Diese Fangquote entspricht einer Verdreifachung der Anzahl von Adulten verglichen mit dem Jahr 2017 bzw. einer Steigerung von knapp 500 Prozent gegenüber dem Jahr 2016. Die </w:t>
      </w:r>
      <w:r>
        <w:t>Alarm</w:t>
      </w:r>
      <w:r w:rsidRPr="00AF78C8">
        <w:t>schwelle der Larven bzw. der Käfer können somit um einiges höher als aus Literaturdaten bisher abgeleitet wurde angesetzt werden. Ein Schwellenwert in der Höhe von 50-70 Käfer m</w:t>
      </w:r>
      <w:r w:rsidRPr="00AF78C8">
        <w:rPr>
          <w:vertAlign w:val="superscript"/>
        </w:rPr>
        <w:t>-2</w:t>
      </w:r>
      <w:r w:rsidRPr="00AF78C8">
        <w:t xml:space="preserve"> (d.h. ca. 10 Käfer pro Pflanze; abhängig von der Aussaatstärke </w:t>
      </w:r>
      <w:r>
        <w:t xml:space="preserve">des Maissaatgutes </w:t>
      </w:r>
      <w:r w:rsidRPr="00AF78C8">
        <w:t>pro Hektar) kann als realistische Alarmzahl bestätigt werden.</w:t>
      </w:r>
    </w:p>
    <w:p w:rsidR="00C949C4" w:rsidRPr="00AF78C8" w:rsidRDefault="00C949C4" w:rsidP="000602EE">
      <w:pPr>
        <w:pStyle w:val="1Aufzhlung"/>
        <w:jc w:val="both"/>
      </w:pPr>
      <w:r w:rsidRPr="00AF78C8">
        <w:t>der Körnerertrag war 2018 hoch und zwar unabhängig von der Behandlungsvariante (im Schnitt 11,2 t ha</w:t>
      </w:r>
      <w:r w:rsidRPr="00AF78C8">
        <w:rPr>
          <w:vertAlign w:val="superscript"/>
        </w:rPr>
        <w:t>-1</w:t>
      </w:r>
      <w:r w:rsidRPr="00AF78C8">
        <w:t xml:space="preserve"> Maiskörner – trocken). Die Witterungsbedingungen sowie die verwendete</w:t>
      </w:r>
      <w:r>
        <w:t>n</w:t>
      </w:r>
      <w:r w:rsidRPr="00AF78C8">
        <w:t xml:space="preserve"> Maissorte</w:t>
      </w:r>
      <w:r>
        <w:t>n</w:t>
      </w:r>
      <w:r w:rsidRPr="00AF78C8">
        <w:t xml:space="preserve"> leisteten also einen wichtigen Beitrag </w:t>
      </w:r>
      <w:r>
        <w:t xml:space="preserve">zur </w:t>
      </w:r>
      <w:r w:rsidRPr="00AF78C8">
        <w:t xml:space="preserve">gesunden Pflanzenentwicklung (d.h. Ausbildung von Sekundärwurzeln und Kompensation von Wurzelverlusten durch den Larvenfraß), sofern dieser Verlust überhaupt in der Saison 2018 eingetreten ist. Es konnten trotz der hohen </w:t>
      </w:r>
      <w:r w:rsidRPr="00AF78C8">
        <w:rPr>
          <w:i/>
        </w:rPr>
        <w:t xml:space="preserve">Diabrotica </w:t>
      </w:r>
      <w:r w:rsidRPr="00AF78C8">
        <w:t xml:space="preserve">Larvendichte keine </w:t>
      </w:r>
      <w:r w:rsidRPr="00756EB1">
        <w:t>Fraßschäden</w:t>
      </w:r>
      <w:r w:rsidRPr="00AF78C8">
        <w:t xml:space="preserve"> </w:t>
      </w:r>
      <w:r>
        <w:t>an den Maiswurzeln</w:t>
      </w:r>
      <w:r w:rsidRPr="00AF78C8">
        <w:t xml:space="preserve"> nachgewiesen werden („Node-Injury Scale“ Bewertung: 0.00; niedrigster Wert; n = 10 pro untersuchte</w:t>
      </w:r>
      <w:r>
        <w:t>n</w:t>
      </w:r>
      <w:r w:rsidRPr="00AF78C8">
        <w:t xml:space="preserve"> Wirkstoff). Auch konnten keine direkten Schäden an der Maispflanze und deren Maiskolben bonitiert werden (d. h. weniger als 1,5 Prozent aller bonitierten Pflanzen zeigten eine Schadsymptomatik bezüglich Pflanzenwuchs </w:t>
      </w:r>
      <w:r>
        <w:t xml:space="preserve">infolge des Befalls </w:t>
      </w:r>
      <w:r w:rsidRPr="00AF78C8">
        <w:t>auf).</w:t>
      </w:r>
    </w:p>
    <w:p w:rsidR="00C949C4" w:rsidRPr="00AF78C8" w:rsidRDefault="00C949C4" w:rsidP="000602EE">
      <w:pPr>
        <w:pStyle w:val="1Aufzhlung"/>
        <w:jc w:val="both"/>
      </w:pPr>
      <w:r w:rsidRPr="00AF78C8">
        <w:t>Die Wirkstoffe</w:t>
      </w:r>
      <w:r>
        <w:t>, ob</w:t>
      </w:r>
      <w:r w:rsidRPr="00AF78C8">
        <w:t xml:space="preserve"> alleine oder in Kombination mit anderen Wirkstoffen eingesetzt, führten zu einer signifikant geringeren Käferzahl – verglichen mit der Anzahl von Adulten in den unbehandelten Kontrollflächen. Jede Bekämpfungsmaßnahme führte zu einer signifikanten Reduktion der Käferabundanz</w:t>
      </w:r>
      <w:r>
        <w:t>. Der Mehrertrag selbst kam jedoch durch günstige Rahmenbedingungen, unabhängig vom Befall, zustande.</w:t>
      </w:r>
    </w:p>
    <w:p w:rsidR="00C949C4" w:rsidRPr="00AF78C8" w:rsidRDefault="00C949C4" w:rsidP="000602EE">
      <w:pPr>
        <w:pStyle w:val="1Aufzhlung"/>
        <w:jc w:val="both"/>
      </w:pPr>
      <w:r w:rsidRPr="00AF78C8">
        <w:t xml:space="preserve">Die erwünschte Abundanz von 5.000 </w:t>
      </w:r>
      <w:r w:rsidRPr="00AF78C8">
        <w:rPr>
          <w:i/>
        </w:rPr>
        <w:t xml:space="preserve">Metarhizium brunneum </w:t>
      </w:r>
      <w:r w:rsidRPr="00AF78C8">
        <w:t>KBE g</w:t>
      </w:r>
      <w:r w:rsidRPr="00AF78C8">
        <w:rPr>
          <w:vertAlign w:val="superscript"/>
        </w:rPr>
        <w:t>-1</w:t>
      </w:r>
      <w:r w:rsidRPr="00AF78C8">
        <w:t xml:space="preserve"> TG Boden und mehr konnte schon nach </w:t>
      </w:r>
      <w:r>
        <w:t xml:space="preserve">der </w:t>
      </w:r>
      <w:r w:rsidRPr="00AF78C8">
        <w:t>ersten Applikation des Pilz-Gerste Produktes GranMet</w:t>
      </w:r>
      <w:r w:rsidRPr="00AF78C8">
        <w:rPr>
          <w:vertAlign w:val="superscript"/>
        </w:rPr>
        <w:t>TM</w:t>
      </w:r>
      <w:r w:rsidRPr="00AF78C8">
        <w:t xml:space="preserve"> im Boden, alleine und in Kombination mit den anderen biologischen Wirkstoffen, erzielt werden. Auffallend war die hohe indigene </w:t>
      </w:r>
      <w:r w:rsidRPr="00AF78C8">
        <w:rPr>
          <w:i/>
        </w:rPr>
        <w:t>Metarhizium</w:t>
      </w:r>
      <w:r w:rsidRPr="00AF78C8">
        <w:t xml:space="preserve"> Abundanz an allen drei Versuchsstandorten, welche jedoch über die Sommermonate geringfügig abnahm. Die Genotypisierung, welche zurzeit </w:t>
      </w:r>
      <w:r>
        <w:t xml:space="preserve">im Rahmen einer Masterarbeit </w:t>
      </w:r>
      <w:r w:rsidRPr="00AF78C8">
        <w:t>zu</w:t>
      </w:r>
      <w:r>
        <w:t xml:space="preserve">m dritten Mal </w:t>
      </w:r>
      <w:r w:rsidRPr="00AF78C8">
        <w:t>durchgeführt wird</w:t>
      </w:r>
      <w:r>
        <w:t>,</w:t>
      </w:r>
      <w:r w:rsidRPr="00AF78C8">
        <w:t xml:space="preserve"> soll endgültig bestätigen, dass der Produktion</w:t>
      </w:r>
      <w:r>
        <w:t>s</w:t>
      </w:r>
      <w:r w:rsidRPr="00AF78C8">
        <w:t xml:space="preserve">stamm BIPESCO 5 sich in den Behandlungsflächen etablieren konnte. Die multivariate CANOCO Analysenmethode bestätigte, dass die </w:t>
      </w:r>
      <w:r w:rsidRPr="00AF78C8">
        <w:rPr>
          <w:i/>
        </w:rPr>
        <w:t>Metarhizium</w:t>
      </w:r>
      <w:r w:rsidRPr="00AF78C8">
        <w:t>-Dichte im Boden, s</w:t>
      </w:r>
      <w:r>
        <w:t xml:space="preserve">chon durch eine einmalige </w:t>
      </w:r>
      <w:r w:rsidRPr="00AF78C8">
        <w:t>GranMet</w:t>
      </w:r>
      <w:r w:rsidRPr="00AF78C8">
        <w:rPr>
          <w:vertAlign w:val="superscript"/>
        </w:rPr>
        <w:t>TM</w:t>
      </w:r>
      <w:r w:rsidRPr="00AF78C8">
        <w:t xml:space="preserve">-Anwendungen </w:t>
      </w:r>
      <w:r>
        <w:t xml:space="preserve">sich </w:t>
      </w:r>
      <w:r w:rsidRPr="00AF78C8">
        <w:t xml:space="preserve">signifikant </w:t>
      </w:r>
      <w:r>
        <w:t>hat</w:t>
      </w:r>
      <w:r w:rsidRPr="00AF78C8">
        <w:t xml:space="preserve"> steigern lassen. Die </w:t>
      </w:r>
      <w:r w:rsidRPr="00AF78C8">
        <w:rPr>
          <w:i/>
        </w:rPr>
        <w:t>Metarhizium</w:t>
      </w:r>
      <w:r w:rsidRPr="00AF78C8">
        <w:t xml:space="preserve"> Dichte im Boden sollte zukünftig als ein indirektes Maß zur Bewertung der Wirksamkeit des biologischen Wirkstoffes gewertet werden. Je höher die </w:t>
      </w:r>
      <w:r w:rsidRPr="00B40E98">
        <w:rPr>
          <w:i/>
        </w:rPr>
        <w:t xml:space="preserve">Metarhizium </w:t>
      </w:r>
      <w:r>
        <w:t>– Abundanz im Boden ist</w:t>
      </w:r>
      <w:r w:rsidRPr="00AF78C8">
        <w:t xml:space="preserve">, desto besser </w:t>
      </w:r>
      <w:r>
        <w:t xml:space="preserve">ist der Pflanzenertrag und </w:t>
      </w:r>
      <w:r w:rsidRPr="00AF78C8">
        <w:t xml:space="preserve">die Kontrolle des Schädlings </w:t>
      </w:r>
      <w:r w:rsidRPr="00AF78C8">
        <w:rPr>
          <w:i/>
        </w:rPr>
        <w:t>Diabrotica.</w:t>
      </w:r>
      <w:r w:rsidRPr="00AF78C8">
        <w:t xml:space="preserve"> Die Kombination von GranMet</w:t>
      </w:r>
      <w:r w:rsidRPr="00AF78C8">
        <w:rPr>
          <w:vertAlign w:val="superscript"/>
        </w:rPr>
        <w:t>TM</w:t>
      </w:r>
      <w:r w:rsidRPr="00AF78C8">
        <w:t xml:space="preserve"> mit anderen biologischen Wirkstoffen führte erwartungsgemäß zu keiner negativen Beeinflussung der </w:t>
      </w:r>
      <w:r w:rsidRPr="00AF78C8">
        <w:rPr>
          <w:i/>
        </w:rPr>
        <w:t xml:space="preserve">Metarhizium </w:t>
      </w:r>
      <w:r w:rsidRPr="00AF78C8">
        <w:t xml:space="preserve">Abundanz. Die Ergebnisse dieser Kombinationsstudie stehen im Einklang mit </w:t>
      </w:r>
      <w:r>
        <w:t>den Ergebnissen der EU-INBIOSOIL Studie. Mayerhofer und Co-Autoren konnten zeig</w:t>
      </w:r>
      <w:r w:rsidRPr="00AF78C8">
        <w:t xml:space="preserve">en, dass </w:t>
      </w:r>
      <w:r>
        <w:t xml:space="preserve">die mikrobiellen Bodengesellschaften (d.h. Bakterien und Pilze) </w:t>
      </w:r>
      <w:r w:rsidRPr="00AF78C8">
        <w:t>in Gegenwart von M</w:t>
      </w:r>
      <w:r w:rsidRPr="00AF78C8">
        <w:rPr>
          <w:i/>
        </w:rPr>
        <w:t xml:space="preserve">etarhizium </w:t>
      </w:r>
      <w:r w:rsidRPr="00B40E98">
        <w:t>nicht negativ beeinflusst wurden</w:t>
      </w:r>
      <w:r>
        <w:rPr>
          <w:i/>
        </w:rPr>
        <w:t xml:space="preserve"> </w:t>
      </w:r>
      <w:r w:rsidRPr="00AF78C8">
        <w:t>(Mayerhofer, Strasser et al., als Fullpaper eingereicht bei Biocont Sci. Technol.).</w:t>
      </w:r>
    </w:p>
    <w:p w:rsidR="00C949C4" w:rsidRPr="00AF78C8" w:rsidRDefault="00C949C4" w:rsidP="000602EE">
      <w:pPr>
        <w:pStyle w:val="1Aufzhlung"/>
        <w:jc w:val="both"/>
      </w:pPr>
      <w:r w:rsidRPr="00AF78C8">
        <w:t>Als Sofortmaßnahme soll auch weiterhin die Fruchtfolge gezielt zur Regulierung der Maiswurzelbohrer-Population genutzt und fortgeführt werden. Der hohe Wirkungsgrad der Maßnahme ermöglicht eine Reduktion der Käfer im gesamten Befallsgebiet (Reduktion von mehr als 2/3 der Käfer pro Jahr und Fruchtwechsel; Foltin et al., 2014). Je mehr Hektar befallene Ackerfläche in der Region mit Alternativkulturen (also keinen Mais als Nachfrucht) bepflanzt werden, desto größer ist die Auswirkung auf die Gesamtpopulation. Die aus den abgelegten Maiswurzelbohrer-Eier</w:t>
      </w:r>
      <w:r>
        <w:t>n</w:t>
      </w:r>
      <w:r w:rsidRPr="00AF78C8">
        <w:t xml:space="preserve"> schlüpfenden Larven finden nämlich keine Wirtspflanze, welche für eine Entwicklung bis zum Käfer geeignet ist. Nach einer entsprechenden Absenkung der Käferpopulation im Gebiet entsteht auch für die anderen Bekämpfungsmaßnahmen wieder die Voraussetzung einer ausreichenden Wirkung.</w:t>
      </w:r>
    </w:p>
    <w:p w:rsidR="00C949C4" w:rsidRPr="00AF78C8" w:rsidRDefault="00C949C4" w:rsidP="000602EE">
      <w:pPr>
        <w:pStyle w:val="1Aufzhlung"/>
        <w:jc w:val="both"/>
      </w:pPr>
      <w:r w:rsidRPr="00AF78C8">
        <w:t>Gemäß den Empfehlung</w:t>
      </w:r>
      <w:r>
        <w:t>en</w:t>
      </w:r>
      <w:r w:rsidRPr="00AF78C8">
        <w:t xml:space="preserve"> der EPPO ExpertInnen (EPPO Richtlinie 2017</w:t>
      </w:r>
      <w:r w:rsidRPr="00AF78C8">
        <w:rPr>
          <w:rFonts w:ascii="AdvPSHEL" w:hAnsi="AdvPSHEL" w:cs="AdvPSHEL"/>
          <w:sz w:val="16"/>
          <w:szCs w:val="16"/>
          <w:lang w:eastAsia="de-AT"/>
        </w:rPr>
        <w:t>)</w:t>
      </w:r>
      <w:r w:rsidRPr="00AF78C8">
        <w:t>, sowie auch der Experten der Landwirtschaftskammer Österreich (</w:t>
      </w:r>
      <w:r w:rsidRPr="009C44F8">
        <w:rPr>
          <w:color w:val="auto"/>
          <w:sz w:val="22"/>
          <w:szCs w:val="22"/>
        </w:rPr>
        <w:t>warndienst.lko.at/</w:t>
      </w:r>
      <w:r w:rsidRPr="009C44F8">
        <w:rPr>
          <w:color w:val="auto"/>
        </w:rPr>
        <w:t>maiswurzelbohrer</w:t>
      </w:r>
      <w:r w:rsidRPr="00AF78C8">
        <w:t xml:space="preserve">...), kann zusätzlich zu allen aufgelisteten Gegenmaßnahmen, auch die Anwendung des insektentötenden Pilzes </w:t>
      </w:r>
      <w:r w:rsidRPr="00AF78C8">
        <w:rPr>
          <w:i/>
        </w:rPr>
        <w:t>Metarhizium brunneum</w:t>
      </w:r>
      <w:r w:rsidRPr="00AF78C8">
        <w:t xml:space="preserve"> BIPESCO 5 empfohlen werden. Der Einsatz des Pilzes wäre jedoch zurzeit nur möglich, wenn es eine Notfalls</w:t>
      </w:r>
      <w:r>
        <w:t>z</w:t>
      </w:r>
      <w:r w:rsidRPr="00AF78C8">
        <w:t xml:space="preserve">ulassung </w:t>
      </w:r>
      <w:r>
        <w:t xml:space="preserve">für das </w:t>
      </w:r>
      <w:r w:rsidRPr="00AF78C8">
        <w:t>Mittel GranMet</w:t>
      </w:r>
      <w:r w:rsidRPr="00AF78C8">
        <w:rPr>
          <w:vertAlign w:val="superscript"/>
        </w:rPr>
        <w:t>TM</w:t>
      </w:r>
      <w:r w:rsidRPr="00AF78C8">
        <w:t xml:space="preserve"> gibt.</w:t>
      </w:r>
    </w:p>
    <w:p w:rsidR="00C949C4" w:rsidRPr="00C949C4" w:rsidRDefault="00C949C4" w:rsidP="000602EE">
      <w:pPr>
        <w:pStyle w:val="Flietext"/>
        <w:jc w:val="both"/>
      </w:pPr>
      <w:r w:rsidRPr="00AF78C8">
        <w:t xml:space="preserve">Aus Ermangelung an wirksamen, umweltfreundlichen, zugelassenen chemischen Insektiziden, wird eine ganzheitliche, direkte Bekämpfung auch der Käfer mit biologischen Wirkstoffen unumgänglich sein. Alternativprodukte auf Basis biologischer Wirkstoffe sind wünschenswert, und könnten u.a. im oberirdischen Einsatz des insektentötenden Pilzes </w:t>
      </w:r>
      <w:r w:rsidRPr="00AF78C8">
        <w:rPr>
          <w:i/>
        </w:rPr>
        <w:t xml:space="preserve">Metarhizium, </w:t>
      </w:r>
      <w:r w:rsidRPr="00AF78C8">
        <w:t xml:space="preserve">zur Käferbehandlung, gefunden werden. Erste positive Ergebnisse zeugen von einem vielversprechenden Potential – Ein Folgeantrag </w:t>
      </w:r>
      <w:r>
        <w:t>für eine entsprechende Studie ist zurzeit ist in</w:t>
      </w:r>
      <w:r w:rsidR="00B11803">
        <w:t xml:space="preserve"> Planung.</w:t>
      </w:r>
    </w:p>
    <w:p w:rsidR="00B11803" w:rsidRPr="00B11803" w:rsidRDefault="00B11803" w:rsidP="00B11803">
      <w:pPr>
        <w:pStyle w:val="1Unterkapitel"/>
        <w:rPr>
          <w:i/>
        </w:rPr>
      </w:pPr>
      <w:bookmarkStart w:id="7" w:name="_Toc7715551"/>
      <w:r>
        <w:t xml:space="preserve">Untersuchung des Wirkstoffs </w:t>
      </w:r>
      <w:r w:rsidRPr="00B11803">
        <w:rPr>
          <w:i/>
        </w:rPr>
        <w:t>M. brunneum</w:t>
      </w:r>
      <w:bookmarkEnd w:id="7"/>
    </w:p>
    <w:p w:rsidR="00B11803" w:rsidRPr="00B11803" w:rsidRDefault="00B11803" w:rsidP="000602EE">
      <w:pPr>
        <w:pStyle w:val="Flietext"/>
        <w:jc w:val="both"/>
      </w:pPr>
      <w:r>
        <w:t>Unsere Ziele im Besonderen waren</w:t>
      </w:r>
      <w:r w:rsidRPr="00F82689">
        <w:t>: (i) ein</w:t>
      </w:r>
      <w:r>
        <w:t>e</w:t>
      </w:r>
      <w:r w:rsidRPr="00F82689">
        <w:t xml:space="preserve"> </w:t>
      </w:r>
      <w:r w:rsidRPr="00B87BA3">
        <w:rPr>
          <w:i/>
        </w:rPr>
        <w:t>Diabrotica</w:t>
      </w:r>
      <w:r>
        <w:t xml:space="preserve"> Befallsdichte</w:t>
      </w:r>
      <w:r w:rsidRPr="00F82689">
        <w:t>-</w:t>
      </w:r>
      <w:r>
        <w:t>Erhebung</w:t>
      </w:r>
      <w:r w:rsidRPr="00F82689">
        <w:t xml:space="preserve"> in ausgewiesenen Risikogebieten in </w:t>
      </w:r>
      <w:r>
        <w:t xml:space="preserve">der Steiermark und Tirol </w:t>
      </w:r>
      <w:r w:rsidRPr="00F82689">
        <w:t xml:space="preserve">durchzuführen, um Informationen bezüglich der </w:t>
      </w:r>
      <w:r>
        <w:t xml:space="preserve">Populationsdichte </w:t>
      </w:r>
      <w:r w:rsidRPr="00F82689">
        <w:t>zu erhalten und den tatsächlichen Populationsdruck de</w:t>
      </w:r>
      <w:r>
        <w:t xml:space="preserve">s Maiswurzelbohrers </w:t>
      </w:r>
      <w:r w:rsidRPr="00BF0D70">
        <w:t>(</w:t>
      </w:r>
      <w:r w:rsidRPr="00BF0D70">
        <w:rPr>
          <w:i/>
        </w:rPr>
        <w:t xml:space="preserve">Diabrotica </w:t>
      </w:r>
      <w:r>
        <w:rPr>
          <w:i/>
        </w:rPr>
        <w:t xml:space="preserve">v. </w:t>
      </w:r>
      <w:r w:rsidRPr="00BF0D70">
        <w:rPr>
          <w:i/>
        </w:rPr>
        <w:t>virgifera</w:t>
      </w:r>
      <w:r w:rsidRPr="00BF0D70">
        <w:t>)</w:t>
      </w:r>
      <w:r>
        <w:t xml:space="preserve"> </w:t>
      </w:r>
      <w:r w:rsidRPr="00F82689">
        <w:t xml:space="preserve">in den Risikogebieten </w:t>
      </w:r>
      <w:r>
        <w:t>nachzuweisen</w:t>
      </w:r>
      <w:r w:rsidRPr="00F82689">
        <w:t xml:space="preserve">. (ii) </w:t>
      </w:r>
      <w:r w:rsidRPr="00BF0D70">
        <w:t xml:space="preserve">Weiterentwicklung eines von vier </w:t>
      </w:r>
      <w:r w:rsidRPr="00BF0D70">
        <w:rPr>
          <w:lang w:eastAsia="en-GB"/>
        </w:rPr>
        <w:t xml:space="preserve">alternativen biologischen Verfahren zum Schutz der </w:t>
      </w:r>
      <w:r w:rsidRPr="00BF0D70">
        <w:t xml:space="preserve">Maiskulturen vor dem Maiswurzelbohrer. Ziel </w:t>
      </w:r>
      <w:r>
        <w:t>war</w:t>
      </w:r>
      <w:r w:rsidRPr="00BF0D70">
        <w:t xml:space="preserve"> es</w:t>
      </w:r>
      <w:r>
        <w:t>,</w:t>
      </w:r>
      <w:r w:rsidRPr="00BF0D70">
        <w:t xml:space="preserve"> die gute Wirksamkeit des insektenpathogenen Pilzes </w:t>
      </w:r>
      <w:r w:rsidRPr="00BF0D70">
        <w:rPr>
          <w:i/>
        </w:rPr>
        <w:t>M</w:t>
      </w:r>
      <w:r>
        <w:rPr>
          <w:i/>
        </w:rPr>
        <w:t>.</w:t>
      </w:r>
      <w:r w:rsidRPr="00BF0D70">
        <w:rPr>
          <w:i/>
        </w:rPr>
        <w:t xml:space="preserve"> brunneum</w:t>
      </w:r>
      <w:r w:rsidRPr="00BF0D70">
        <w:t xml:space="preserve"> (</w:t>
      </w:r>
      <w:r>
        <w:t>produziert als Wirkstoff GranMet</w:t>
      </w:r>
      <w:r w:rsidRPr="00BF0D70">
        <w:rPr>
          <w:vertAlign w:val="superscript"/>
        </w:rPr>
        <w:t>TM</w:t>
      </w:r>
      <w:r w:rsidRPr="00BF0D70">
        <w:t>) zu bestätigen, welche</w:t>
      </w:r>
      <w:r>
        <w:t>r auch</w:t>
      </w:r>
      <w:r w:rsidRPr="00BF0D70">
        <w:t xml:space="preserve"> i</w:t>
      </w:r>
      <w:r>
        <w:t xml:space="preserve">n der </w:t>
      </w:r>
      <w:r w:rsidRPr="00BF0D70">
        <w:t xml:space="preserve">präventiven </w:t>
      </w:r>
      <w:r>
        <w:t>Anwendung seinen</w:t>
      </w:r>
      <w:r w:rsidRPr="00BF0D70">
        <w:t xml:space="preserve"> </w:t>
      </w:r>
      <w:r>
        <w:t>Einsatz finden könnte</w:t>
      </w:r>
      <w:r w:rsidRPr="00BF0D70">
        <w:t xml:space="preserve">. </w:t>
      </w:r>
      <w:r>
        <w:t>(iii) Mit einer</w:t>
      </w:r>
      <w:r w:rsidRPr="00BF0D70">
        <w:t xml:space="preserve"> mehrjährigen </w:t>
      </w:r>
      <w:r w:rsidRPr="00C914B8">
        <w:rPr>
          <w:i/>
        </w:rPr>
        <w:t>Metarhizium</w:t>
      </w:r>
      <w:r>
        <w:t xml:space="preserve"> Abundanz-Erhebung </w:t>
      </w:r>
      <w:r w:rsidRPr="00BF0D70">
        <w:t>soll</w:t>
      </w:r>
      <w:r>
        <w:t>te</w:t>
      </w:r>
      <w:r w:rsidRPr="00BF0D70">
        <w:t xml:space="preserve"> weiters abgesichert werden, dass die </w:t>
      </w:r>
      <w:r w:rsidRPr="00BF0D70">
        <w:rPr>
          <w:i/>
        </w:rPr>
        <w:t>Diabrotica</w:t>
      </w:r>
      <w:r w:rsidRPr="00BF0D70">
        <w:t xml:space="preserve">-Population in den Behandlungsflächen unter der wirtschaftlichen Schadschwelle gehalten werden kann. </w:t>
      </w:r>
      <w:r>
        <w:t xml:space="preserve">(iv) Da nachgewiesen werden konnte, dass </w:t>
      </w:r>
      <w:r w:rsidRPr="00BF0D70">
        <w:rPr>
          <w:i/>
        </w:rPr>
        <w:t>M. brunneum</w:t>
      </w:r>
      <w:r w:rsidRPr="00BF0D70">
        <w:t xml:space="preserve"> tatsächlich </w:t>
      </w:r>
      <w:r>
        <w:t>p</w:t>
      </w:r>
      <w:r w:rsidRPr="00BF0D70">
        <w:t xml:space="preserve">opulationsregulierend auf den Maiswurzelbohrer wirkt, </w:t>
      </w:r>
      <w:r>
        <w:t>wurde</w:t>
      </w:r>
      <w:r w:rsidRPr="00BF0D70">
        <w:t xml:space="preserve"> </w:t>
      </w:r>
      <w:r>
        <w:t xml:space="preserve">schon 2017 der Versuch unternommen, </w:t>
      </w:r>
      <w:r w:rsidRPr="00BF0D70">
        <w:t>auf Grundlage der EU-Verordnung (1107/2009</w:t>
      </w:r>
      <w:r>
        <w:t>; gemäß Artikel 53 „Notfallsituation im Pflanzenschutz“</w:t>
      </w:r>
      <w:r w:rsidRPr="00BF0D70">
        <w:t xml:space="preserve">), ein </w:t>
      </w:r>
      <w:r w:rsidRPr="00BF0D70">
        <w:rPr>
          <w:i/>
        </w:rPr>
        <w:t>Metarhizium</w:t>
      </w:r>
      <w:r w:rsidRPr="00BF0D70">
        <w:t xml:space="preserve">-Präparat </w:t>
      </w:r>
      <w:r>
        <w:t>für den Einsatz in Österreich anzupreisen. Die notwendigen Daten dazu wurden erarbeitet und sollen zukünftig für das Antragsgesuch auf Zulassung bei Notfallsituation im Pflanzenschutz den Firmen zur Verfügung gestellt werden.</w:t>
      </w:r>
    </w:p>
    <w:p w:rsidR="00C949C4" w:rsidRDefault="00C949C4" w:rsidP="000602EE">
      <w:pPr>
        <w:pStyle w:val="FlietextEinleitung"/>
        <w:ind w:firstLine="0"/>
        <w:jc w:val="both"/>
      </w:pPr>
      <w:r w:rsidRPr="00F82689">
        <w:t>Die Arbeitsgruppe BIPESCO Team Innsbruck (P</w:t>
      </w:r>
      <w:r>
        <w:t>4</w:t>
      </w:r>
      <w:r w:rsidRPr="00F82689">
        <w:t xml:space="preserve">) </w:t>
      </w:r>
      <w:r>
        <w:t xml:space="preserve">untersuchte die nachhaltige Persistenz des Wirkstoffes </w:t>
      </w:r>
      <w:r w:rsidRPr="00BF0D70">
        <w:rPr>
          <w:i/>
        </w:rPr>
        <w:t>M</w:t>
      </w:r>
      <w:r>
        <w:rPr>
          <w:i/>
        </w:rPr>
        <w:t>etarhizium</w:t>
      </w:r>
      <w:r w:rsidRPr="00BF0D70">
        <w:rPr>
          <w:i/>
        </w:rPr>
        <w:t xml:space="preserve"> brunneum</w:t>
      </w:r>
      <w:r>
        <w:t xml:space="preserve"> im Maisackerboden, nachdem der entomopathogene Pilz </w:t>
      </w:r>
      <w:r w:rsidRPr="00E70CB8">
        <w:rPr>
          <w:i/>
        </w:rPr>
        <w:t>Metarhizium</w:t>
      </w:r>
      <w:r>
        <w:t xml:space="preserve"> </w:t>
      </w:r>
      <w:r w:rsidRPr="00E70CB8">
        <w:rPr>
          <w:i/>
        </w:rPr>
        <w:t>brunneum</w:t>
      </w:r>
      <w:r>
        <w:t xml:space="preserve"> einmal jährlich als Pilzgranulat-Formulierung (entsprechend dem GranMet</w:t>
      </w:r>
      <w:r w:rsidRPr="00B87BA3">
        <w:rPr>
          <w:vertAlign w:val="superscript"/>
        </w:rPr>
        <w:t>TM</w:t>
      </w:r>
      <w:r>
        <w:t xml:space="preserve"> Produkt) mit Hilfe einer Scheibenegge gleichmäßig in den Boden eingearbeitet wurde. Hernach wurde überprüft, ob der Schwellenwert von </w:t>
      </w:r>
      <w:r w:rsidRPr="00E35185">
        <w:rPr>
          <w:i/>
        </w:rPr>
        <w:t>M</w:t>
      </w:r>
      <w:r>
        <w:rPr>
          <w:i/>
        </w:rPr>
        <w:t>.</w:t>
      </w:r>
      <w:r w:rsidRPr="00E35185">
        <w:rPr>
          <w:i/>
        </w:rPr>
        <w:t xml:space="preserve"> brunneum</w:t>
      </w:r>
      <w:r>
        <w:t xml:space="preserve"> mit &gt; 5000 Koloniebildenden Einheiten (KBE) pro Gram Boden Trockengewicht flächendeckend sichergestellt werden konnte. </w:t>
      </w:r>
      <w:r w:rsidRPr="00845AED">
        <w:t xml:space="preserve">Durch die präventive Massenapplikation von </w:t>
      </w:r>
      <w:r w:rsidRPr="00BF0D70">
        <w:rPr>
          <w:i/>
        </w:rPr>
        <w:t>M</w:t>
      </w:r>
      <w:r>
        <w:rPr>
          <w:i/>
        </w:rPr>
        <w:t>.</w:t>
      </w:r>
      <w:r w:rsidRPr="00BF0D70">
        <w:rPr>
          <w:i/>
        </w:rPr>
        <w:t xml:space="preserve"> brunneum</w:t>
      </w:r>
      <w:r w:rsidRPr="00845AED">
        <w:t xml:space="preserve"> Stamm BIPESCO 5 soll</w:t>
      </w:r>
      <w:r>
        <w:t>te</w:t>
      </w:r>
      <w:r w:rsidRPr="00845AED">
        <w:t xml:space="preserve"> ein Maiswurzelbohrer-Befall i</w:t>
      </w:r>
      <w:r>
        <w:t>n Tiroler Maisfeldern verhindert</w:t>
      </w:r>
      <w:r w:rsidRPr="00845AED">
        <w:t xml:space="preserve">, sowie die Population in der Steiermark nachhaltig reduziert werden. Eine Käferdichte von </w:t>
      </w:r>
      <w:r>
        <w:t>kleiner</w:t>
      </w:r>
      <w:r w:rsidRPr="00845AED">
        <w:t xml:space="preserve"> ein Käfer </w:t>
      </w:r>
      <w:r w:rsidRPr="00A94710">
        <w:t xml:space="preserve">pro Pflanze (&lt; </w:t>
      </w:r>
      <w:r>
        <w:t>200</w:t>
      </w:r>
      <w:r w:rsidRPr="00A94710">
        <w:t>.000 Käfer pro Hektar)</w:t>
      </w:r>
      <w:r>
        <w:t xml:space="preserve"> war </w:t>
      </w:r>
      <w:r w:rsidRPr="00845AED">
        <w:t>Ziel</w:t>
      </w:r>
      <w:r>
        <w:t xml:space="preserve"> des Bekämpfungsansatzes</w:t>
      </w:r>
      <w:r w:rsidRPr="00845AED">
        <w:t>.</w:t>
      </w:r>
    </w:p>
    <w:p w:rsidR="00C949C4" w:rsidRDefault="00C949C4" w:rsidP="00C949C4">
      <w:pPr>
        <w:pStyle w:val="1Unterkapitel"/>
      </w:pPr>
      <w:bookmarkStart w:id="8" w:name="_Toc532311602"/>
      <w:bookmarkStart w:id="9" w:name="_Toc7715552"/>
      <w:r w:rsidRPr="009121FD">
        <w:t>Dauerbeobachtungsflächen</w:t>
      </w:r>
      <w:r w:rsidRPr="0012275A">
        <w:t xml:space="preserve"> in </w:t>
      </w:r>
      <w:r>
        <w:t xml:space="preserve">der </w:t>
      </w:r>
      <w:r w:rsidRPr="0012275A">
        <w:t>Steiermark</w:t>
      </w:r>
      <w:r>
        <w:t xml:space="preserve"> und Tirol</w:t>
      </w:r>
      <w:bookmarkEnd w:id="8"/>
      <w:bookmarkEnd w:id="9"/>
    </w:p>
    <w:p w:rsidR="00B11803" w:rsidRDefault="00C949C4" w:rsidP="000602EE">
      <w:pPr>
        <w:pStyle w:val="Flietext"/>
        <w:jc w:val="both"/>
      </w:pPr>
      <w:r w:rsidRPr="00D11428">
        <w:t xml:space="preserve">Um eine nachhaltige Präsenz </w:t>
      </w:r>
      <w:r w:rsidRPr="001D3CB3">
        <w:t xml:space="preserve">des entomopathogenen Pilzes </w:t>
      </w:r>
      <w:r w:rsidRPr="001D3CB3">
        <w:rPr>
          <w:i/>
          <w:iCs/>
        </w:rPr>
        <w:t xml:space="preserve">Metarhizium brunneum </w:t>
      </w:r>
      <w:r w:rsidRPr="001D3CB3">
        <w:t>im Ackerboden zu gewährleisten, wurde das Pilzgranulat (GranMet</w:t>
      </w:r>
      <w:r w:rsidRPr="001D3CB3">
        <w:rPr>
          <w:vertAlign w:val="superscript"/>
        </w:rPr>
        <w:t>TM</w:t>
      </w:r>
      <w:r w:rsidRPr="001D3CB3">
        <w:t>) mit einer Aufwandmenge von 50 kg ha</w:t>
      </w:r>
      <w:r w:rsidRPr="001D3CB3">
        <w:rPr>
          <w:vertAlign w:val="superscript"/>
        </w:rPr>
        <w:t>-1</w:t>
      </w:r>
      <w:r w:rsidRPr="001D3CB3">
        <w:t xml:space="preserve"> Jahr</w:t>
      </w:r>
      <w:r w:rsidRPr="001D3CB3">
        <w:rPr>
          <w:vertAlign w:val="superscript"/>
        </w:rPr>
        <w:t>-1</w:t>
      </w:r>
      <w:r w:rsidRPr="001D3CB3">
        <w:t xml:space="preserve"> in 2 Maisäckern (à 2 ha) bei Bad Radkersburg (Steiermark;</w:t>
      </w:r>
      <w:r w:rsidR="000602EE" w:rsidRPr="001D3CB3">
        <w:t xml:space="preserve"> Abbildung 1</w:t>
      </w:r>
      <w:r w:rsidRPr="001D3CB3">
        <w:t xml:space="preserve">) und auf 12 ha Energiemaisfeldern im Großachetal (Tirol, </w:t>
      </w:r>
      <w:r w:rsidR="000602EE" w:rsidRPr="001D3CB3">
        <w:t>Abbildung 2</w:t>
      </w:r>
      <w:r w:rsidRPr="001D3CB3">
        <w:t>), jährlich im Frühjahr in den Boden eingearbeitet (</w:t>
      </w:r>
      <w:r w:rsidR="00AE6417" w:rsidRPr="001D3CB3">
        <w:t>Abbildung 3</w:t>
      </w:r>
      <w:r w:rsidRPr="001D3CB3">
        <w:t>). Die beiden Maisäcker in der Steiermark wurden schon seit 2012 auf diese Weise behandelt, die Flächen in Tirol hingegen wurden 2016 in die Studie mitaufgenommen (Erstapplikation - 29. April</w:t>
      </w:r>
      <w:r>
        <w:t xml:space="preserve"> 2016)</w:t>
      </w:r>
      <w:r w:rsidRPr="00D11428">
        <w:t xml:space="preserve">. </w:t>
      </w:r>
      <w:r>
        <w:t xml:space="preserve">Durch die inundative Massenapplikation </w:t>
      </w:r>
      <w:r w:rsidRPr="00D11428">
        <w:t>soll</w:t>
      </w:r>
      <w:r>
        <w:t>te</w:t>
      </w:r>
      <w:r w:rsidRPr="00D11428">
        <w:t xml:space="preserve"> der Schwellenwert von mindestens 5</w:t>
      </w:r>
      <w:r>
        <w:t>.</w:t>
      </w:r>
      <w:r w:rsidRPr="00D11428">
        <w:t xml:space="preserve">000 </w:t>
      </w:r>
      <w:r w:rsidRPr="00D11428">
        <w:rPr>
          <w:i/>
          <w:iCs/>
        </w:rPr>
        <w:t xml:space="preserve">Metarhizium </w:t>
      </w:r>
      <w:r w:rsidRPr="00B3325D">
        <w:rPr>
          <w:iCs/>
        </w:rPr>
        <w:t>KBE pro g</w:t>
      </w:r>
      <w:r w:rsidRPr="00B3325D">
        <w:rPr>
          <w:iCs/>
          <w:vertAlign w:val="superscript"/>
        </w:rPr>
        <w:t>-1</w:t>
      </w:r>
      <w:r w:rsidRPr="00B3325D">
        <w:rPr>
          <w:iCs/>
        </w:rPr>
        <w:t xml:space="preserve"> TG</w:t>
      </w:r>
      <w:r w:rsidRPr="00B3325D">
        <w:t xml:space="preserve"> </w:t>
      </w:r>
      <w:r w:rsidRPr="00D11428">
        <w:t xml:space="preserve">flächendeckend sichergestellt </w:t>
      </w:r>
      <w:r>
        <w:t>werden</w:t>
      </w:r>
      <w:r w:rsidRPr="00D11428">
        <w:t>. Die Pilzdichte im Boden w</w:t>
      </w:r>
      <w:r>
        <w:t>u</w:t>
      </w:r>
      <w:r w:rsidRPr="00D11428">
        <w:t>rd</w:t>
      </w:r>
      <w:r>
        <w:t>e</w:t>
      </w:r>
      <w:r w:rsidRPr="00D11428">
        <w:t xml:space="preserve"> </w:t>
      </w:r>
      <w:r>
        <w:t>2016 und 2017, je drei M</w:t>
      </w:r>
      <w:r w:rsidRPr="00D11428">
        <w:t>al pro Saison</w:t>
      </w:r>
      <w:r>
        <w:t>,</w:t>
      </w:r>
      <w:r w:rsidRPr="00D11428">
        <w:t xml:space="preserve"> </w:t>
      </w:r>
      <w:r>
        <w:t>mit Hilfe der BIPESCO Standard-Methoden</w:t>
      </w:r>
      <w:r w:rsidRPr="00D11428">
        <w:t xml:space="preserve"> ermittelt</w:t>
      </w:r>
      <w:r>
        <w:t xml:space="preserve"> (Längle et al., 2005)</w:t>
      </w:r>
      <w:r w:rsidRPr="00D11428">
        <w:t>. Dabei w</w:t>
      </w:r>
      <w:r>
        <w:t>u</w:t>
      </w:r>
      <w:r w:rsidRPr="00D11428">
        <w:t>rden auch weitere registrierungsrelevante Untersuchungen durchgeführt</w:t>
      </w:r>
      <w:r>
        <w:t xml:space="preserve"> (u. a. Genotypisierung der </w:t>
      </w:r>
      <w:r w:rsidRPr="00BC33DC">
        <w:rPr>
          <w:i/>
        </w:rPr>
        <w:t>Metarhizium</w:t>
      </w:r>
      <w:r>
        <w:t xml:space="preserve"> Isolate)</w:t>
      </w:r>
      <w:r w:rsidRPr="00D11428">
        <w:t>. Die Wirkung des Mitteleinsatzes w</w:t>
      </w:r>
      <w:r>
        <w:t>urde</w:t>
      </w:r>
      <w:r w:rsidRPr="00D11428">
        <w:t xml:space="preserve"> durch Erhebung der Anzahl von Käfern in </w:t>
      </w:r>
      <w:r>
        <w:t xml:space="preserve">den </w:t>
      </w:r>
      <w:r w:rsidRPr="00D11428">
        <w:t xml:space="preserve">Schlupfkäfigen, auf </w:t>
      </w:r>
      <w:r>
        <w:t>CSALOMON PAL Pheromonfallen (nur in Tirol),</w:t>
      </w:r>
      <w:r w:rsidRPr="00D11428">
        <w:t xml:space="preserve"> sowie durch Bonitierung </w:t>
      </w:r>
      <w:r>
        <w:t>der</w:t>
      </w:r>
      <w:r w:rsidRPr="00D11428">
        <w:t xml:space="preserve"> Maispflanzen und dem Ernteertrag festgestellt. Als unbehandelte Kontrollflächen </w:t>
      </w:r>
      <w:r>
        <w:t xml:space="preserve">dienten anliegende </w:t>
      </w:r>
      <w:bookmarkStart w:id="10" w:name="_Toc532311603"/>
      <w:r w:rsidR="00B11803">
        <w:t>Maisackerflächen.</w:t>
      </w:r>
    </w:p>
    <w:p w:rsidR="00C949C4" w:rsidRPr="002013FE" w:rsidRDefault="00C949C4" w:rsidP="004428DB">
      <w:pPr>
        <w:pStyle w:val="1Unterkapitel"/>
      </w:pPr>
      <w:bookmarkStart w:id="11" w:name="_Toc7715553"/>
      <w:r w:rsidRPr="002013FE">
        <w:t>Versuchsstandorte Steiermark</w:t>
      </w:r>
      <w:bookmarkEnd w:id="10"/>
      <w:bookmarkEnd w:id="11"/>
    </w:p>
    <w:tbl>
      <w:tblPr>
        <w:tblW w:w="0" w:type="auto"/>
        <w:tblLook w:val="01E0" w:firstRow="1" w:lastRow="1" w:firstColumn="1" w:lastColumn="1" w:noHBand="0" w:noVBand="0"/>
      </w:tblPr>
      <w:tblGrid>
        <w:gridCol w:w="3110"/>
        <w:gridCol w:w="6068"/>
      </w:tblGrid>
      <w:tr w:rsidR="00C949C4" w:rsidRPr="002013FE" w:rsidTr="00C949C4">
        <w:tc>
          <w:tcPr>
            <w:tcW w:w="9288" w:type="dxa"/>
            <w:gridSpan w:val="2"/>
            <w:shd w:val="clear" w:color="auto" w:fill="auto"/>
          </w:tcPr>
          <w:p w:rsidR="00C949C4" w:rsidRPr="000602EE" w:rsidRDefault="00C949C4" w:rsidP="000602EE">
            <w:pPr>
              <w:spacing w:before="270" w:line="270" w:lineRule="exact"/>
              <w:ind w:firstLine="709"/>
              <w:rPr>
                <w:rFonts w:eastAsia="Times New Roman"/>
                <w:b/>
                <w:bCs/>
                <w:color w:val="000000"/>
              </w:rPr>
            </w:pPr>
            <w:r w:rsidRPr="000602EE">
              <w:rPr>
                <w:rFonts w:eastAsia="Times New Roman"/>
                <w:b/>
                <w:bCs/>
                <w:color w:val="000000"/>
              </w:rPr>
              <w:t>Koordinaten der Versuchsflächen (2016 und 2017)</w:t>
            </w:r>
          </w:p>
          <w:p w:rsidR="00C949C4" w:rsidRPr="002013FE" w:rsidRDefault="00C949C4" w:rsidP="00C949C4">
            <w:pPr>
              <w:rPr>
                <w:rFonts w:eastAsia="Times New Roman"/>
                <w:b/>
                <w:bCs/>
                <w:color w:val="000000"/>
                <w:lang w:val="de-DE" w:eastAsia="de-DE"/>
              </w:rPr>
            </w:pPr>
            <w:r w:rsidRPr="002013FE">
              <w:rPr>
                <w:rFonts w:eastAsia="Times New Roman"/>
                <w:b/>
                <w:bCs/>
                <w:color w:val="000000"/>
                <w:lang w:val="de-DE" w:eastAsia="de-DE"/>
              </w:rPr>
              <w:t>Dietzen</w:t>
            </w:r>
            <w:r w:rsidRPr="002013FE">
              <w:rPr>
                <w:rFonts w:eastAsia="Times New Roman"/>
                <w:b/>
                <w:bCs/>
                <w:color w:val="000000"/>
                <w:vertAlign w:val="superscript"/>
                <w:lang w:val="de-DE" w:eastAsia="de-DE"/>
              </w:rPr>
              <w:t>A</w:t>
            </w:r>
          </w:p>
        </w:tc>
      </w:tr>
      <w:tr w:rsidR="00C949C4" w:rsidRPr="002013FE" w:rsidTr="00C949C4">
        <w:tc>
          <w:tcPr>
            <w:tcW w:w="3168"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46°42,623’ N / 15°56,306’ O</w:t>
            </w:r>
          </w:p>
        </w:tc>
        <w:tc>
          <w:tcPr>
            <w:tcW w:w="6120" w:type="dxa"/>
            <w:vMerge w:val="restart"/>
            <w:shd w:val="clear" w:color="auto" w:fill="auto"/>
          </w:tcPr>
          <w:p w:rsidR="00C949C4" w:rsidRPr="002013FE" w:rsidRDefault="00C949C4" w:rsidP="00C949C4">
            <w:pPr>
              <w:rPr>
                <w:rFonts w:ascii="Calibri" w:eastAsia="Times New Roman" w:hAnsi="Calibri"/>
                <w:sz w:val="24"/>
                <w:szCs w:val="24"/>
                <w:lang w:eastAsia="de-AT"/>
              </w:rPr>
            </w:pPr>
            <w:r w:rsidRPr="002013FE">
              <w:rPr>
                <w:rFonts w:ascii="Calibri" w:eastAsia="Times New Roman" w:hAnsi="Calibri"/>
                <w:noProof/>
                <w:sz w:val="24"/>
                <w:szCs w:val="24"/>
                <w:lang w:eastAsia="de-AT"/>
              </w:rPr>
              <w:drawing>
                <wp:inline distT="0" distB="0" distL="0" distR="0" wp14:anchorId="1F9752F0" wp14:editId="0B55768B">
                  <wp:extent cx="2809875" cy="2247900"/>
                  <wp:effectExtent l="0" t="0" r="9525" b="0"/>
                  <wp:docPr id="59" name="Grafik 59" title="Versuchsstando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2809875" cy="2247900"/>
                          </a:xfrm>
                          <a:prstGeom prst="rect">
                            <a:avLst/>
                          </a:prstGeom>
                          <a:noFill/>
                          <a:ln>
                            <a:noFill/>
                          </a:ln>
                        </pic:spPr>
                      </pic:pic>
                    </a:graphicData>
                  </a:graphic>
                </wp:inline>
              </w:drawing>
            </w:r>
          </w:p>
        </w:tc>
      </w:tr>
      <w:tr w:rsidR="00C949C4" w:rsidRPr="002013FE" w:rsidTr="00C949C4">
        <w:tc>
          <w:tcPr>
            <w:tcW w:w="3168"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46°42,693’ N / 15°56,330’ O</w:t>
            </w:r>
          </w:p>
        </w:tc>
        <w:tc>
          <w:tcPr>
            <w:tcW w:w="6120" w:type="dxa"/>
            <w:vMerge/>
            <w:shd w:val="clear" w:color="auto" w:fill="auto"/>
          </w:tcPr>
          <w:p w:rsidR="00C949C4" w:rsidRPr="002013FE" w:rsidRDefault="00C949C4" w:rsidP="00C949C4">
            <w:pPr>
              <w:rPr>
                <w:rFonts w:ascii="Calibri" w:eastAsia="Times New Roman" w:hAnsi="Calibri"/>
                <w:sz w:val="24"/>
                <w:szCs w:val="24"/>
                <w:lang w:eastAsia="de-AT"/>
              </w:rPr>
            </w:pPr>
          </w:p>
        </w:tc>
      </w:tr>
      <w:tr w:rsidR="00C949C4" w:rsidRPr="002013FE" w:rsidTr="00C949C4">
        <w:tc>
          <w:tcPr>
            <w:tcW w:w="3168"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46°42,746’ N / 15°56,399’ O</w:t>
            </w:r>
          </w:p>
        </w:tc>
        <w:tc>
          <w:tcPr>
            <w:tcW w:w="6120" w:type="dxa"/>
            <w:vMerge/>
            <w:shd w:val="clear" w:color="auto" w:fill="auto"/>
          </w:tcPr>
          <w:p w:rsidR="00C949C4" w:rsidRPr="002013FE" w:rsidRDefault="00C949C4" w:rsidP="00C949C4">
            <w:pPr>
              <w:rPr>
                <w:rFonts w:ascii="Calibri" w:eastAsia="Times New Roman" w:hAnsi="Calibri"/>
                <w:sz w:val="24"/>
                <w:szCs w:val="24"/>
                <w:lang w:eastAsia="de-AT"/>
              </w:rPr>
            </w:pPr>
          </w:p>
        </w:tc>
      </w:tr>
      <w:tr w:rsidR="00C949C4" w:rsidRPr="002013FE" w:rsidTr="00C949C4">
        <w:tc>
          <w:tcPr>
            <w:tcW w:w="3168"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46°42,693’ N / 15°56,455’ O</w:t>
            </w:r>
          </w:p>
        </w:tc>
        <w:tc>
          <w:tcPr>
            <w:tcW w:w="6120" w:type="dxa"/>
            <w:vMerge/>
            <w:shd w:val="clear" w:color="auto" w:fill="auto"/>
          </w:tcPr>
          <w:p w:rsidR="00C949C4" w:rsidRPr="002013FE" w:rsidRDefault="00C949C4" w:rsidP="00C949C4">
            <w:pPr>
              <w:rPr>
                <w:rFonts w:ascii="Calibri" w:eastAsia="Times New Roman" w:hAnsi="Calibri"/>
                <w:sz w:val="24"/>
                <w:szCs w:val="24"/>
                <w:lang w:eastAsia="de-AT"/>
              </w:rPr>
            </w:pPr>
          </w:p>
        </w:tc>
      </w:tr>
      <w:tr w:rsidR="00C949C4" w:rsidRPr="002013FE" w:rsidTr="00C949C4">
        <w:tc>
          <w:tcPr>
            <w:tcW w:w="3168" w:type="dxa"/>
            <w:shd w:val="clear" w:color="auto" w:fill="auto"/>
          </w:tcPr>
          <w:p w:rsidR="00474E4D" w:rsidRDefault="00C949C4" w:rsidP="00474E4D">
            <w:pPr>
              <w:rPr>
                <w:rFonts w:eastAsia="Times New Roman"/>
                <w:color w:val="000000"/>
                <w:sz w:val="16"/>
              </w:rPr>
            </w:pPr>
            <w:r w:rsidRPr="002013FE">
              <w:rPr>
                <w:rFonts w:eastAsia="Times New Roman"/>
                <w:color w:val="000000"/>
                <w:sz w:val="16"/>
              </w:rPr>
              <w:t>46°42,641’ N / 15°56,435’ O</w:t>
            </w:r>
          </w:p>
          <w:p w:rsidR="00474E4D" w:rsidRDefault="00474E4D" w:rsidP="00474E4D">
            <w:pPr>
              <w:rPr>
                <w:rFonts w:eastAsia="Times New Roman"/>
                <w:color w:val="000000"/>
                <w:sz w:val="16"/>
              </w:rPr>
            </w:pPr>
          </w:p>
          <w:p w:rsidR="00C949C4" w:rsidRPr="002013FE" w:rsidRDefault="00C949C4" w:rsidP="00474E4D">
            <w:pPr>
              <w:rPr>
                <w:rFonts w:eastAsia="Times New Roman"/>
                <w:color w:val="000000"/>
                <w:sz w:val="16"/>
              </w:rPr>
            </w:pPr>
            <w:r w:rsidRPr="002013FE">
              <w:rPr>
                <w:rFonts w:eastAsia="Times New Roman"/>
                <w:color w:val="000000"/>
                <w:sz w:val="16"/>
              </w:rPr>
              <w:t>Fläche: 2,5 ha (2.5392,63 m</w:t>
            </w:r>
            <w:r w:rsidRPr="002013FE">
              <w:rPr>
                <w:rFonts w:eastAsia="Times New Roman"/>
                <w:color w:val="000000"/>
                <w:sz w:val="16"/>
                <w:vertAlign w:val="superscript"/>
              </w:rPr>
              <w:t>2</w:t>
            </w:r>
            <w:r w:rsidRPr="002013FE">
              <w:rPr>
                <w:rFonts w:eastAsia="Times New Roman"/>
                <w:color w:val="000000"/>
                <w:sz w:val="16"/>
              </w:rPr>
              <w:t>)</w:t>
            </w:r>
          </w:p>
        </w:tc>
        <w:tc>
          <w:tcPr>
            <w:tcW w:w="6120" w:type="dxa"/>
            <w:vMerge/>
            <w:shd w:val="clear" w:color="auto" w:fill="auto"/>
          </w:tcPr>
          <w:p w:rsidR="00C949C4" w:rsidRPr="002013FE" w:rsidRDefault="00C949C4" w:rsidP="00C949C4">
            <w:pPr>
              <w:rPr>
                <w:rFonts w:ascii="Calibri" w:eastAsia="Times New Roman" w:hAnsi="Calibri"/>
                <w:sz w:val="24"/>
                <w:szCs w:val="24"/>
                <w:lang w:eastAsia="de-AT"/>
              </w:rPr>
            </w:pPr>
          </w:p>
        </w:tc>
      </w:tr>
      <w:tr w:rsidR="00C949C4" w:rsidRPr="002013FE" w:rsidTr="00C949C4">
        <w:tc>
          <w:tcPr>
            <w:tcW w:w="3168" w:type="dxa"/>
            <w:shd w:val="clear" w:color="auto" w:fill="auto"/>
          </w:tcPr>
          <w:p w:rsidR="00C949C4" w:rsidRPr="002013FE" w:rsidRDefault="00C949C4" w:rsidP="00C949C4">
            <w:pPr>
              <w:rPr>
                <w:rFonts w:eastAsia="Times New Roman"/>
                <w:b/>
                <w:bCs/>
                <w:color w:val="000000"/>
                <w:lang w:val="de-DE" w:eastAsia="de-DE"/>
              </w:rPr>
            </w:pPr>
            <w:r w:rsidRPr="002013FE">
              <w:rPr>
                <w:rFonts w:eastAsia="Times New Roman"/>
                <w:b/>
                <w:bCs/>
                <w:color w:val="000000"/>
                <w:lang w:val="de-DE" w:eastAsia="de-DE"/>
              </w:rPr>
              <w:t>Dietzen</w:t>
            </w:r>
            <w:r w:rsidRPr="002013FE">
              <w:rPr>
                <w:rFonts w:eastAsia="Times New Roman"/>
                <w:b/>
                <w:bCs/>
                <w:color w:val="000000"/>
                <w:vertAlign w:val="superscript"/>
                <w:lang w:val="de-DE" w:eastAsia="de-DE"/>
              </w:rPr>
              <w:t>B</w:t>
            </w:r>
          </w:p>
        </w:tc>
        <w:tc>
          <w:tcPr>
            <w:tcW w:w="6120" w:type="dxa"/>
            <w:shd w:val="clear" w:color="auto" w:fill="auto"/>
          </w:tcPr>
          <w:p w:rsidR="00C949C4" w:rsidRPr="002013FE" w:rsidRDefault="00C949C4" w:rsidP="00C949C4">
            <w:pPr>
              <w:rPr>
                <w:rFonts w:ascii="Calibri" w:eastAsia="Times New Roman" w:hAnsi="Calibri"/>
                <w:sz w:val="24"/>
                <w:szCs w:val="24"/>
                <w:lang w:eastAsia="de-AT"/>
              </w:rPr>
            </w:pPr>
          </w:p>
        </w:tc>
      </w:tr>
      <w:tr w:rsidR="00C949C4" w:rsidRPr="002013FE" w:rsidTr="00C949C4">
        <w:tc>
          <w:tcPr>
            <w:tcW w:w="3168" w:type="dxa"/>
            <w:shd w:val="clear" w:color="auto" w:fill="auto"/>
          </w:tcPr>
          <w:tbl>
            <w:tblPr>
              <w:tblW w:w="0" w:type="auto"/>
              <w:tblLook w:val="01E0" w:firstRow="1" w:lastRow="1" w:firstColumn="1" w:lastColumn="1" w:noHBand="0" w:noVBand="0"/>
            </w:tblPr>
            <w:tblGrid>
              <w:gridCol w:w="2894"/>
            </w:tblGrid>
            <w:tr w:rsidR="00C949C4" w:rsidRPr="002013FE" w:rsidTr="00C949C4">
              <w:tc>
                <w:tcPr>
                  <w:tcW w:w="2952"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46°42,635’ N / 15°56,358’ O</w:t>
                  </w:r>
                </w:p>
              </w:tc>
            </w:tr>
            <w:tr w:rsidR="00C949C4" w:rsidRPr="002013FE" w:rsidTr="00C949C4">
              <w:tc>
                <w:tcPr>
                  <w:tcW w:w="2952"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46°42,640’ N / 15°56,440’ O</w:t>
                  </w:r>
                </w:p>
              </w:tc>
            </w:tr>
            <w:tr w:rsidR="00C949C4" w:rsidRPr="002013FE" w:rsidTr="00C949C4">
              <w:tc>
                <w:tcPr>
                  <w:tcW w:w="2952"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46°42,694’ N / 15°56,456’ O</w:t>
                  </w:r>
                </w:p>
              </w:tc>
            </w:tr>
            <w:tr w:rsidR="00C949C4" w:rsidRPr="002013FE" w:rsidTr="00C949C4">
              <w:tc>
                <w:tcPr>
                  <w:tcW w:w="2952"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46°42,747’ N / 15°56,393’ O</w:t>
                  </w:r>
                </w:p>
                <w:p w:rsidR="00474E4D" w:rsidRDefault="00474E4D" w:rsidP="00C949C4">
                  <w:pPr>
                    <w:rPr>
                      <w:rFonts w:eastAsia="Times New Roman"/>
                      <w:color w:val="000000"/>
                      <w:sz w:val="16"/>
                    </w:rPr>
                  </w:pPr>
                </w:p>
                <w:p w:rsidR="00C949C4" w:rsidRPr="002013FE" w:rsidRDefault="00C949C4" w:rsidP="00C949C4">
                  <w:pPr>
                    <w:rPr>
                      <w:rFonts w:eastAsia="Times New Roman"/>
                      <w:color w:val="000000"/>
                      <w:sz w:val="16"/>
                    </w:rPr>
                  </w:pPr>
                  <w:r w:rsidRPr="002013FE">
                    <w:rPr>
                      <w:rFonts w:eastAsia="Times New Roman"/>
                      <w:color w:val="000000"/>
                      <w:sz w:val="16"/>
                    </w:rPr>
                    <w:t>Fläche: 1,9 ha (1,9411 m</w:t>
                  </w:r>
                  <w:r w:rsidRPr="002013FE">
                    <w:rPr>
                      <w:rFonts w:eastAsia="Times New Roman"/>
                      <w:color w:val="000000"/>
                      <w:sz w:val="16"/>
                      <w:vertAlign w:val="superscript"/>
                    </w:rPr>
                    <w:t>2</w:t>
                  </w:r>
                  <w:r w:rsidRPr="002013FE">
                    <w:rPr>
                      <w:rFonts w:eastAsia="Times New Roman"/>
                      <w:color w:val="000000"/>
                      <w:sz w:val="16"/>
                    </w:rPr>
                    <w:t>)</w:t>
                  </w:r>
                </w:p>
              </w:tc>
            </w:tr>
          </w:tbl>
          <w:p w:rsidR="00C949C4" w:rsidRPr="002013FE" w:rsidRDefault="00C949C4" w:rsidP="00C949C4">
            <w:pPr>
              <w:rPr>
                <w:rFonts w:ascii="Calibri" w:eastAsia="Times New Roman" w:hAnsi="Calibri"/>
                <w:sz w:val="24"/>
                <w:szCs w:val="24"/>
                <w:lang w:eastAsia="de-AT"/>
              </w:rPr>
            </w:pPr>
          </w:p>
        </w:tc>
        <w:tc>
          <w:tcPr>
            <w:tcW w:w="6120" w:type="dxa"/>
            <w:shd w:val="clear" w:color="auto" w:fill="auto"/>
          </w:tcPr>
          <w:p w:rsidR="00C949C4" w:rsidRPr="002013FE" w:rsidRDefault="00C949C4" w:rsidP="00C949C4">
            <w:pPr>
              <w:rPr>
                <w:rFonts w:ascii="Calibri" w:eastAsia="Times New Roman" w:hAnsi="Calibri"/>
                <w:sz w:val="24"/>
                <w:szCs w:val="24"/>
                <w:lang w:eastAsia="de-AT"/>
              </w:rPr>
            </w:pPr>
            <w:r w:rsidRPr="002013FE">
              <w:rPr>
                <w:rFonts w:ascii="Calibri" w:eastAsia="Times New Roman" w:hAnsi="Calibri"/>
                <w:noProof/>
                <w:sz w:val="24"/>
                <w:szCs w:val="24"/>
                <w:lang w:eastAsia="de-AT"/>
              </w:rPr>
              <mc:AlternateContent>
                <mc:Choice Requires="wps">
                  <w:drawing>
                    <wp:anchor distT="0" distB="0" distL="114300" distR="114300" simplePos="0" relativeHeight="251503104" behindDoc="0" locked="0" layoutInCell="1" allowOverlap="1" wp14:anchorId="68B157B2" wp14:editId="767E3BC3">
                      <wp:simplePos x="0" y="0"/>
                      <wp:positionH relativeFrom="column">
                        <wp:posOffset>1202055</wp:posOffset>
                      </wp:positionH>
                      <wp:positionV relativeFrom="line">
                        <wp:posOffset>398780</wp:posOffset>
                      </wp:positionV>
                      <wp:extent cx="485775" cy="47625"/>
                      <wp:effectExtent l="0" t="0" r="0" b="0"/>
                      <wp:wrapNone/>
                      <wp:docPr id="53" name="Gekrümmter Verbinder 45" title="Versuchsfläche Dietzen"/>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5775" cy="47625"/>
                              </a:xfrm>
                              <a:prstGeom prst="curvedConnector3">
                                <a:avLst>
                                  <a:gd name="adj1" fmla="val 49935"/>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403C282"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Gekrümmter Verbinder 45" o:spid="_x0000_s1026" type="#_x0000_t38" alt="Titel: Versuchsfläche Dietzen" style="position:absolute;margin-left:94.65pt;margin-top:31.4pt;width:38.25pt;height:3.75pt;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" adj="10786" stroked="f">
                      <w10:wrap anchory="line"/>
                    </v:shape>
                  </w:pict>
                </mc:Fallback>
              </mc:AlternateContent>
            </w:r>
            <w:r w:rsidRPr="002013FE">
              <w:rPr>
                <w:rFonts w:ascii="MetaCorr" w:eastAsia="Times New Roman" w:hAnsi="MetaCorr"/>
                <w:noProof/>
                <w:sz w:val="24"/>
                <w:szCs w:val="24"/>
                <w:lang w:eastAsia="de-AT"/>
              </w:rPr>
              <w:drawing>
                <wp:inline distT="0" distB="0" distL="0" distR="0" wp14:anchorId="63C7A62B" wp14:editId="7D3EA30C">
                  <wp:extent cx="2790825" cy="2571750"/>
                  <wp:effectExtent l="0" t="0" r="9525" b="0"/>
                  <wp:docPr id="60" name="Grafik 60" title="Dietz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2790825" cy="2571750"/>
                          </a:xfrm>
                          <a:prstGeom prst="rect">
                            <a:avLst/>
                          </a:prstGeom>
                          <a:noFill/>
                          <a:ln>
                            <a:noFill/>
                          </a:ln>
                        </pic:spPr>
                      </pic:pic>
                    </a:graphicData>
                  </a:graphic>
                </wp:inline>
              </w:drawing>
            </w:r>
          </w:p>
        </w:tc>
      </w:tr>
      <w:tr w:rsidR="00C949C4" w:rsidRPr="002013FE" w:rsidTr="00C949C4">
        <w:tc>
          <w:tcPr>
            <w:tcW w:w="3168" w:type="dxa"/>
            <w:shd w:val="clear" w:color="auto" w:fill="auto"/>
          </w:tcPr>
          <w:p w:rsidR="00C949C4" w:rsidRPr="002013FE" w:rsidRDefault="00C949C4" w:rsidP="00C949C4">
            <w:pPr>
              <w:rPr>
                <w:rFonts w:eastAsia="Times New Roman"/>
                <w:b/>
                <w:bCs/>
                <w:color w:val="000000"/>
                <w:lang w:val="de-DE" w:eastAsia="de-DE"/>
              </w:rPr>
            </w:pPr>
            <w:r w:rsidRPr="002013FE">
              <w:rPr>
                <w:rFonts w:eastAsia="Times New Roman"/>
                <w:b/>
                <w:bCs/>
                <w:color w:val="000000"/>
                <w:lang w:val="de-DE" w:eastAsia="de-DE"/>
              </w:rPr>
              <w:br w:type="page"/>
              <w:t>Kontrollfläche – Dietzen</w:t>
            </w:r>
            <w:r w:rsidRPr="002013FE">
              <w:rPr>
                <w:rFonts w:eastAsia="Times New Roman"/>
                <w:b/>
                <w:bCs/>
                <w:color w:val="000000"/>
                <w:vertAlign w:val="superscript"/>
                <w:lang w:val="de-DE" w:eastAsia="de-DE"/>
              </w:rPr>
              <w:t>C</w:t>
            </w:r>
          </w:p>
        </w:tc>
        <w:tc>
          <w:tcPr>
            <w:tcW w:w="6120" w:type="dxa"/>
            <w:shd w:val="clear" w:color="auto" w:fill="auto"/>
          </w:tcPr>
          <w:p w:rsidR="00C949C4" w:rsidRPr="002013FE" w:rsidRDefault="00C949C4" w:rsidP="00C949C4">
            <w:pPr>
              <w:rPr>
                <w:rFonts w:ascii="Calibri" w:eastAsia="Times New Roman" w:hAnsi="Calibri"/>
                <w:sz w:val="24"/>
                <w:szCs w:val="24"/>
                <w:lang w:eastAsia="de-AT"/>
              </w:rPr>
            </w:pPr>
          </w:p>
        </w:tc>
      </w:tr>
      <w:tr w:rsidR="00C949C4" w:rsidRPr="002013FE" w:rsidTr="00C949C4">
        <w:tc>
          <w:tcPr>
            <w:tcW w:w="3168"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46°42,235’ N / 15°56,645’ O</w:t>
            </w:r>
          </w:p>
        </w:tc>
        <w:tc>
          <w:tcPr>
            <w:tcW w:w="6120" w:type="dxa"/>
            <w:vMerge w:val="restart"/>
            <w:shd w:val="clear" w:color="auto" w:fill="auto"/>
          </w:tcPr>
          <w:p w:rsidR="00C949C4" w:rsidRPr="002013FE" w:rsidRDefault="00C949C4" w:rsidP="00C949C4">
            <w:pPr>
              <w:rPr>
                <w:rFonts w:ascii="Calibri" w:eastAsia="Times New Roman" w:hAnsi="Calibri"/>
                <w:sz w:val="24"/>
                <w:szCs w:val="24"/>
                <w:lang w:eastAsia="de-AT"/>
              </w:rPr>
            </w:pPr>
            <w:r w:rsidRPr="002013FE">
              <w:rPr>
                <w:rFonts w:ascii="Calibri" w:eastAsia="Times New Roman" w:hAnsi="Calibri"/>
                <w:noProof/>
                <w:sz w:val="24"/>
                <w:szCs w:val="24"/>
                <w:lang w:eastAsia="de-AT"/>
              </w:rPr>
              <w:drawing>
                <wp:inline distT="0" distB="0" distL="0" distR="0" wp14:anchorId="65448B3F" wp14:editId="5084B9CA">
                  <wp:extent cx="2809875" cy="2019300"/>
                  <wp:effectExtent l="0" t="0" r="9525" b="0"/>
                  <wp:docPr id="61" name="Grafik 61" title="Dietz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09875" cy="2019300"/>
                          </a:xfrm>
                          <a:prstGeom prst="rect">
                            <a:avLst/>
                          </a:prstGeom>
                          <a:noFill/>
                          <a:ln>
                            <a:noFill/>
                          </a:ln>
                        </pic:spPr>
                      </pic:pic>
                    </a:graphicData>
                  </a:graphic>
                </wp:inline>
              </w:drawing>
            </w:r>
          </w:p>
        </w:tc>
      </w:tr>
      <w:tr w:rsidR="00C949C4" w:rsidRPr="002013FE" w:rsidTr="00C949C4">
        <w:tc>
          <w:tcPr>
            <w:tcW w:w="3168"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46°42,352’ N / 15°56,641’ O</w:t>
            </w:r>
          </w:p>
        </w:tc>
        <w:tc>
          <w:tcPr>
            <w:tcW w:w="6120" w:type="dxa"/>
            <w:vMerge/>
            <w:shd w:val="clear" w:color="auto" w:fill="auto"/>
          </w:tcPr>
          <w:p w:rsidR="00C949C4" w:rsidRPr="002013FE" w:rsidRDefault="00C949C4" w:rsidP="00C949C4">
            <w:pPr>
              <w:rPr>
                <w:rFonts w:ascii="Calibri" w:eastAsia="Times New Roman" w:hAnsi="Calibri"/>
                <w:sz w:val="24"/>
                <w:szCs w:val="24"/>
                <w:lang w:eastAsia="de-AT"/>
              </w:rPr>
            </w:pPr>
          </w:p>
        </w:tc>
      </w:tr>
      <w:tr w:rsidR="00C949C4" w:rsidRPr="002013FE" w:rsidTr="00C949C4">
        <w:tc>
          <w:tcPr>
            <w:tcW w:w="3168"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46°42,347’ N / 15°56,733’ O</w:t>
            </w:r>
          </w:p>
        </w:tc>
        <w:tc>
          <w:tcPr>
            <w:tcW w:w="6120" w:type="dxa"/>
            <w:vMerge/>
            <w:shd w:val="clear" w:color="auto" w:fill="auto"/>
          </w:tcPr>
          <w:p w:rsidR="00C949C4" w:rsidRPr="002013FE" w:rsidRDefault="00C949C4" w:rsidP="00C949C4">
            <w:pPr>
              <w:rPr>
                <w:rFonts w:ascii="Calibri" w:eastAsia="Times New Roman" w:hAnsi="Calibri"/>
                <w:sz w:val="24"/>
                <w:szCs w:val="24"/>
                <w:lang w:eastAsia="de-AT"/>
              </w:rPr>
            </w:pPr>
          </w:p>
        </w:tc>
      </w:tr>
      <w:tr w:rsidR="00C949C4" w:rsidRPr="002013FE" w:rsidTr="00C949C4">
        <w:tc>
          <w:tcPr>
            <w:tcW w:w="3168" w:type="dxa"/>
            <w:shd w:val="clear" w:color="auto" w:fill="auto"/>
          </w:tcPr>
          <w:p w:rsidR="00474E4D" w:rsidRDefault="00C949C4" w:rsidP="00474E4D">
            <w:pPr>
              <w:rPr>
                <w:rFonts w:eastAsia="Times New Roman"/>
                <w:color w:val="000000"/>
                <w:sz w:val="16"/>
              </w:rPr>
            </w:pPr>
            <w:r w:rsidRPr="002013FE">
              <w:rPr>
                <w:rFonts w:eastAsia="Times New Roman"/>
                <w:color w:val="000000"/>
                <w:sz w:val="16"/>
              </w:rPr>
              <w:t>46°42,210’ N / 15°56,751’ O</w:t>
            </w:r>
          </w:p>
          <w:p w:rsidR="00474E4D" w:rsidRDefault="00474E4D" w:rsidP="00474E4D">
            <w:pPr>
              <w:rPr>
                <w:rFonts w:eastAsia="Times New Roman"/>
                <w:color w:val="000000"/>
                <w:sz w:val="16"/>
              </w:rPr>
            </w:pPr>
          </w:p>
          <w:p w:rsidR="00C949C4" w:rsidRPr="002013FE" w:rsidRDefault="00C949C4" w:rsidP="00474E4D">
            <w:pPr>
              <w:rPr>
                <w:rFonts w:eastAsia="Times New Roman"/>
                <w:color w:val="000000"/>
                <w:sz w:val="16"/>
              </w:rPr>
            </w:pPr>
            <w:r w:rsidRPr="002013FE">
              <w:rPr>
                <w:rFonts w:eastAsia="Times New Roman"/>
                <w:color w:val="000000"/>
                <w:sz w:val="16"/>
              </w:rPr>
              <w:t>Fläche: 3,3 ha (3.2821,91 m</w:t>
            </w:r>
            <w:r w:rsidRPr="002013FE">
              <w:rPr>
                <w:rFonts w:eastAsia="Times New Roman"/>
                <w:color w:val="000000"/>
                <w:sz w:val="16"/>
                <w:vertAlign w:val="superscript"/>
              </w:rPr>
              <w:t>2</w:t>
            </w:r>
            <w:r w:rsidRPr="002013FE">
              <w:rPr>
                <w:rFonts w:eastAsia="Times New Roman"/>
                <w:color w:val="000000"/>
                <w:sz w:val="16"/>
              </w:rPr>
              <w:t>)</w:t>
            </w:r>
          </w:p>
        </w:tc>
        <w:tc>
          <w:tcPr>
            <w:tcW w:w="6120" w:type="dxa"/>
            <w:vMerge/>
            <w:shd w:val="clear" w:color="auto" w:fill="auto"/>
          </w:tcPr>
          <w:p w:rsidR="00C949C4" w:rsidRPr="002013FE" w:rsidRDefault="00C949C4" w:rsidP="00C949C4">
            <w:pPr>
              <w:rPr>
                <w:rFonts w:ascii="Calibri" w:eastAsia="Times New Roman" w:hAnsi="Calibri"/>
                <w:sz w:val="24"/>
                <w:szCs w:val="24"/>
                <w:lang w:eastAsia="de-AT"/>
              </w:rPr>
            </w:pPr>
          </w:p>
        </w:tc>
      </w:tr>
    </w:tbl>
    <w:p w:rsidR="000602EE" w:rsidRDefault="000602EE" w:rsidP="00C949C4">
      <w:pPr>
        <w:rPr>
          <w:rFonts w:ascii="MetaCorr" w:eastAsia="Times New Roman" w:hAnsi="MetaCorr"/>
          <w:sz w:val="24"/>
          <w:szCs w:val="24"/>
          <w:lang w:val="de-DE" w:eastAsia="de-DE"/>
        </w:rPr>
      </w:pPr>
    </w:p>
    <w:p w:rsidR="000602EE" w:rsidRDefault="000602EE">
      <w:pPr>
        <w:rPr>
          <w:rFonts w:ascii="MetaCorr" w:eastAsia="Times New Roman" w:hAnsi="MetaCorr"/>
          <w:sz w:val="24"/>
          <w:szCs w:val="24"/>
          <w:lang w:val="de-DE" w:eastAsia="de-DE"/>
        </w:rPr>
      </w:pPr>
      <w:r>
        <w:rPr>
          <w:rFonts w:ascii="MetaCorr" w:eastAsia="Times New Roman" w:hAnsi="MetaCorr"/>
          <w:sz w:val="24"/>
          <w:szCs w:val="24"/>
          <w:lang w:val="de-DE" w:eastAsia="de-DE"/>
        </w:rPr>
        <w:br w:type="page"/>
      </w:r>
    </w:p>
    <w:p w:rsidR="00C949C4" w:rsidRPr="002013FE" w:rsidRDefault="00C949C4" w:rsidP="00C949C4">
      <w:pPr>
        <w:rPr>
          <w:rFonts w:ascii="MetaCorr" w:eastAsia="Times New Roman" w:hAnsi="MetaCorr"/>
          <w:sz w:val="24"/>
          <w:szCs w:val="24"/>
          <w:lang w:val="de-DE" w:eastAsia="de-DE"/>
        </w:rPr>
      </w:pPr>
    </w:p>
    <w:tbl>
      <w:tblPr>
        <w:tblW w:w="0" w:type="auto"/>
        <w:tblLook w:val="01E0" w:firstRow="1" w:lastRow="1" w:firstColumn="1" w:lastColumn="1" w:noHBand="0" w:noVBand="0"/>
      </w:tblPr>
      <w:tblGrid>
        <w:gridCol w:w="3110"/>
        <w:gridCol w:w="201"/>
        <w:gridCol w:w="5867"/>
      </w:tblGrid>
      <w:tr w:rsidR="00C949C4" w:rsidRPr="002013FE" w:rsidTr="00C949C4">
        <w:tc>
          <w:tcPr>
            <w:tcW w:w="3369" w:type="dxa"/>
            <w:gridSpan w:val="2"/>
            <w:shd w:val="clear" w:color="auto" w:fill="auto"/>
          </w:tcPr>
          <w:p w:rsidR="00C949C4" w:rsidRPr="002013FE" w:rsidRDefault="00C949C4" w:rsidP="00C949C4">
            <w:pPr>
              <w:rPr>
                <w:rFonts w:eastAsia="Times New Roman"/>
                <w:b/>
                <w:bCs/>
                <w:color w:val="000000"/>
                <w:lang w:val="de-DE" w:eastAsia="de-DE"/>
              </w:rPr>
            </w:pPr>
            <w:r w:rsidRPr="002013FE">
              <w:rPr>
                <w:rFonts w:eastAsia="Times New Roman"/>
                <w:b/>
                <w:bCs/>
                <w:color w:val="000000"/>
                <w:lang w:val="de-DE" w:eastAsia="de-DE"/>
              </w:rPr>
              <w:t>Kontrollfläche – Donnerstdorf</w:t>
            </w:r>
            <w:r w:rsidRPr="002013FE">
              <w:rPr>
                <w:rFonts w:eastAsia="Times New Roman"/>
                <w:b/>
                <w:bCs/>
                <w:color w:val="000000"/>
                <w:vertAlign w:val="superscript"/>
                <w:lang w:val="de-DE" w:eastAsia="de-DE"/>
              </w:rPr>
              <w:t>D</w:t>
            </w:r>
          </w:p>
        </w:tc>
        <w:tc>
          <w:tcPr>
            <w:tcW w:w="5919" w:type="dxa"/>
            <w:shd w:val="clear" w:color="auto" w:fill="auto"/>
          </w:tcPr>
          <w:p w:rsidR="00C949C4" w:rsidRPr="002013FE" w:rsidRDefault="00C949C4" w:rsidP="00C949C4">
            <w:pPr>
              <w:rPr>
                <w:rFonts w:ascii="Calibri" w:eastAsia="Times New Roman" w:hAnsi="Calibri"/>
                <w:sz w:val="24"/>
                <w:szCs w:val="24"/>
                <w:lang w:eastAsia="de-AT"/>
              </w:rPr>
            </w:pPr>
          </w:p>
        </w:tc>
      </w:tr>
      <w:tr w:rsidR="00C949C4" w:rsidRPr="002013FE" w:rsidTr="00C949C4">
        <w:tc>
          <w:tcPr>
            <w:tcW w:w="3168" w:type="dxa"/>
            <w:shd w:val="clear" w:color="auto" w:fill="auto"/>
          </w:tcPr>
          <w:tbl>
            <w:tblPr>
              <w:tblW w:w="0" w:type="auto"/>
              <w:tblLook w:val="01E0" w:firstRow="1" w:lastRow="1" w:firstColumn="1" w:lastColumn="1" w:noHBand="0" w:noVBand="0"/>
            </w:tblPr>
            <w:tblGrid>
              <w:gridCol w:w="2894"/>
            </w:tblGrid>
            <w:tr w:rsidR="00C949C4" w:rsidRPr="002013FE" w:rsidTr="00C949C4">
              <w:tc>
                <w:tcPr>
                  <w:tcW w:w="3168"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46° 43.409’N / 15° 55.828’O</w:t>
                  </w:r>
                </w:p>
              </w:tc>
            </w:tr>
            <w:tr w:rsidR="00C949C4" w:rsidRPr="002013FE" w:rsidTr="00C949C4">
              <w:tc>
                <w:tcPr>
                  <w:tcW w:w="3168"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46° 43.388’N / 15° 55.892’O</w:t>
                  </w:r>
                </w:p>
              </w:tc>
            </w:tr>
            <w:tr w:rsidR="00C949C4" w:rsidRPr="002013FE" w:rsidTr="00C949C4">
              <w:tc>
                <w:tcPr>
                  <w:tcW w:w="3168"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46° 43.477’N / 15° 55.949’O</w:t>
                  </w:r>
                </w:p>
              </w:tc>
            </w:tr>
            <w:tr w:rsidR="00C949C4" w:rsidRPr="002013FE" w:rsidTr="00C949C4">
              <w:tc>
                <w:tcPr>
                  <w:tcW w:w="3168"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46° 43.499’N / 15° 55.883’O</w:t>
                  </w:r>
                </w:p>
                <w:p w:rsidR="00C949C4" w:rsidRPr="002013FE" w:rsidRDefault="00C949C4" w:rsidP="00C949C4">
                  <w:pPr>
                    <w:rPr>
                      <w:rFonts w:eastAsia="Times New Roman"/>
                      <w:color w:val="000000"/>
                      <w:sz w:val="16"/>
                    </w:rPr>
                  </w:pPr>
                </w:p>
                <w:p w:rsidR="00C949C4" w:rsidRPr="002013FE" w:rsidRDefault="00C949C4" w:rsidP="00C949C4">
                  <w:pPr>
                    <w:rPr>
                      <w:rFonts w:eastAsia="Times New Roman"/>
                      <w:color w:val="000000"/>
                      <w:sz w:val="16"/>
                    </w:rPr>
                  </w:pPr>
                  <w:r w:rsidRPr="002013FE">
                    <w:rPr>
                      <w:rFonts w:eastAsia="Times New Roman"/>
                      <w:color w:val="000000"/>
                      <w:sz w:val="16"/>
                    </w:rPr>
                    <w:t>Fläche: 1,4 ha (14.303 m</w:t>
                  </w:r>
                  <w:r w:rsidRPr="002013FE">
                    <w:rPr>
                      <w:rFonts w:eastAsia="Times New Roman"/>
                      <w:color w:val="000000"/>
                      <w:sz w:val="16"/>
                      <w:vertAlign w:val="superscript"/>
                    </w:rPr>
                    <w:t>2</w:t>
                  </w:r>
                  <w:r w:rsidRPr="002013FE">
                    <w:rPr>
                      <w:rFonts w:eastAsia="Times New Roman"/>
                      <w:color w:val="000000"/>
                      <w:sz w:val="16"/>
                    </w:rPr>
                    <w:t>)</w:t>
                  </w:r>
                </w:p>
              </w:tc>
            </w:tr>
          </w:tbl>
          <w:p w:rsidR="00C949C4" w:rsidRPr="002013FE" w:rsidRDefault="00C949C4" w:rsidP="00C949C4">
            <w:pPr>
              <w:rPr>
                <w:rFonts w:ascii="Calibri" w:eastAsia="Times New Roman" w:hAnsi="Calibri"/>
                <w:b/>
                <w:sz w:val="24"/>
                <w:szCs w:val="24"/>
                <w:lang w:eastAsia="de-AT"/>
              </w:rPr>
            </w:pPr>
          </w:p>
        </w:tc>
        <w:tc>
          <w:tcPr>
            <w:tcW w:w="6120" w:type="dxa"/>
            <w:gridSpan w:val="2"/>
            <w:shd w:val="clear" w:color="auto" w:fill="auto"/>
          </w:tcPr>
          <w:p w:rsidR="00C949C4" w:rsidRPr="002013FE" w:rsidRDefault="00C949C4" w:rsidP="00C949C4">
            <w:pPr>
              <w:rPr>
                <w:rFonts w:ascii="Calibri" w:eastAsia="Times New Roman" w:hAnsi="Calibri"/>
                <w:sz w:val="24"/>
                <w:szCs w:val="24"/>
                <w:lang w:eastAsia="de-AT"/>
              </w:rPr>
            </w:pPr>
            <w:r w:rsidRPr="002013FE">
              <w:rPr>
                <w:rFonts w:ascii="MetaCorr" w:eastAsia="Times New Roman" w:hAnsi="MetaCorr"/>
                <w:noProof/>
                <w:sz w:val="24"/>
                <w:szCs w:val="24"/>
                <w:lang w:eastAsia="de-AT"/>
              </w:rPr>
              <w:drawing>
                <wp:inline distT="0" distB="0" distL="0" distR="0" wp14:anchorId="5ABA4499" wp14:editId="36E6950C">
                  <wp:extent cx="2790825" cy="2771775"/>
                  <wp:effectExtent l="0" t="0" r="9525" b="9525"/>
                  <wp:docPr id="62" name="Grafik 62" title="Laaf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2790825" cy="2771775"/>
                          </a:xfrm>
                          <a:prstGeom prst="rect">
                            <a:avLst/>
                          </a:prstGeom>
                          <a:noFill/>
                          <a:ln>
                            <a:noFill/>
                          </a:ln>
                        </pic:spPr>
                      </pic:pic>
                    </a:graphicData>
                  </a:graphic>
                </wp:inline>
              </w:drawing>
            </w:r>
          </w:p>
        </w:tc>
      </w:tr>
      <w:tr w:rsidR="00C949C4" w:rsidRPr="002013FE" w:rsidTr="00C949C4">
        <w:tc>
          <w:tcPr>
            <w:tcW w:w="3168" w:type="dxa"/>
            <w:shd w:val="clear" w:color="auto" w:fill="auto"/>
          </w:tcPr>
          <w:p w:rsidR="00C949C4" w:rsidRPr="002013FE" w:rsidRDefault="00C949C4" w:rsidP="00C949C4">
            <w:pPr>
              <w:rPr>
                <w:rFonts w:eastAsia="Times New Roman"/>
                <w:b/>
                <w:bCs/>
                <w:color w:val="000000"/>
                <w:lang w:val="de-DE" w:eastAsia="de-DE"/>
              </w:rPr>
            </w:pPr>
            <w:r w:rsidRPr="002013FE">
              <w:rPr>
                <w:rFonts w:eastAsia="Times New Roman"/>
                <w:b/>
                <w:bCs/>
                <w:color w:val="000000"/>
                <w:lang w:val="de-DE" w:eastAsia="de-DE"/>
              </w:rPr>
              <w:t>Laafeld</w:t>
            </w:r>
            <w:r w:rsidRPr="002013FE">
              <w:rPr>
                <w:rFonts w:eastAsia="Times New Roman"/>
                <w:b/>
                <w:bCs/>
                <w:color w:val="000000"/>
                <w:vertAlign w:val="superscript"/>
                <w:lang w:val="de-DE" w:eastAsia="de-DE"/>
              </w:rPr>
              <w:t>E</w:t>
            </w:r>
          </w:p>
        </w:tc>
        <w:tc>
          <w:tcPr>
            <w:tcW w:w="6120" w:type="dxa"/>
            <w:gridSpan w:val="2"/>
            <w:shd w:val="clear" w:color="auto" w:fill="auto"/>
          </w:tcPr>
          <w:p w:rsidR="00C949C4" w:rsidRPr="002013FE" w:rsidRDefault="00C949C4" w:rsidP="00C949C4">
            <w:pPr>
              <w:rPr>
                <w:rFonts w:ascii="Calibri" w:eastAsia="Times New Roman" w:hAnsi="Calibri"/>
                <w:sz w:val="24"/>
                <w:szCs w:val="24"/>
                <w:lang w:eastAsia="de-AT"/>
              </w:rPr>
            </w:pPr>
          </w:p>
        </w:tc>
      </w:tr>
      <w:tr w:rsidR="00C949C4" w:rsidRPr="002013FE" w:rsidTr="00C949C4">
        <w:tc>
          <w:tcPr>
            <w:tcW w:w="3168"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46°40,867’ N / 16°0,945’ O</w:t>
            </w:r>
          </w:p>
        </w:tc>
        <w:tc>
          <w:tcPr>
            <w:tcW w:w="6120" w:type="dxa"/>
            <w:gridSpan w:val="2"/>
            <w:vMerge w:val="restart"/>
            <w:shd w:val="clear" w:color="auto" w:fill="auto"/>
          </w:tcPr>
          <w:p w:rsidR="00C949C4" w:rsidRDefault="00C949C4" w:rsidP="00C949C4">
            <w:pPr>
              <w:keepNext/>
            </w:pPr>
            <w:r w:rsidRPr="002013FE">
              <w:rPr>
                <w:rFonts w:ascii="Calibri" w:eastAsia="Times New Roman" w:hAnsi="Calibri"/>
                <w:noProof/>
                <w:sz w:val="24"/>
                <w:szCs w:val="24"/>
                <w:lang w:eastAsia="de-AT"/>
              </w:rPr>
              <w:drawing>
                <wp:inline distT="0" distB="0" distL="0" distR="0" wp14:anchorId="46F0C3AD" wp14:editId="1D8FA748">
                  <wp:extent cx="2781300" cy="2324100"/>
                  <wp:effectExtent l="0" t="0" r="0" b="0"/>
                  <wp:docPr id="63" name="Grafik 63" title="Laaf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2781300" cy="2324100"/>
                          </a:xfrm>
                          <a:prstGeom prst="rect">
                            <a:avLst/>
                          </a:prstGeom>
                          <a:noFill/>
                          <a:ln>
                            <a:noFill/>
                          </a:ln>
                        </pic:spPr>
                      </pic:pic>
                    </a:graphicData>
                  </a:graphic>
                </wp:inline>
              </w:drawing>
            </w:r>
          </w:p>
          <w:p w:rsidR="00C949C4" w:rsidRPr="002013FE" w:rsidRDefault="00C949C4" w:rsidP="00C949C4">
            <w:pPr>
              <w:pStyle w:val="Beschriftung"/>
              <w:rPr>
                <w:rFonts w:ascii="Calibri" w:eastAsia="Times New Roman" w:hAnsi="Calibri"/>
                <w:sz w:val="24"/>
                <w:szCs w:val="24"/>
                <w:lang w:eastAsia="de-AT"/>
              </w:rPr>
            </w:pPr>
          </w:p>
        </w:tc>
      </w:tr>
      <w:tr w:rsidR="00C949C4" w:rsidRPr="002013FE" w:rsidTr="00C949C4">
        <w:tc>
          <w:tcPr>
            <w:tcW w:w="3168"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46°40,991’ N / 16°0,988’ O</w:t>
            </w:r>
          </w:p>
        </w:tc>
        <w:tc>
          <w:tcPr>
            <w:tcW w:w="6120" w:type="dxa"/>
            <w:gridSpan w:val="2"/>
            <w:vMerge/>
            <w:shd w:val="clear" w:color="auto" w:fill="auto"/>
          </w:tcPr>
          <w:p w:rsidR="00C949C4" w:rsidRPr="002013FE" w:rsidRDefault="00C949C4" w:rsidP="00C949C4">
            <w:pPr>
              <w:rPr>
                <w:rFonts w:ascii="Calibri" w:eastAsia="Times New Roman" w:hAnsi="Calibri"/>
                <w:sz w:val="24"/>
                <w:szCs w:val="24"/>
                <w:lang w:eastAsia="de-AT"/>
              </w:rPr>
            </w:pPr>
          </w:p>
        </w:tc>
      </w:tr>
      <w:tr w:rsidR="00C949C4" w:rsidRPr="002013FE" w:rsidTr="00C949C4">
        <w:tc>
          <w:tcPr>
            <w:tcW w:w="3168"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46°41,002’ N / 16°0,914’ O</w:t>
            </w:r>
          </w:p>
        </w:tc>
        <w:tc>
          <w:tcPr>
            <w:tcW w:w="6120" w:type="dxa"/>
            <w:gridSpan w:val="2"/>
            <w:vMerge/>
            <w:shd w:val="clear" w:color="auto" w:fill="auto"/>
          </w:tcPr>
          <w:p w:rsidR="00C949C4" w:rsidRPr="002013FE" w:rsidRDefault="00C949C4" w:rsidP="00C949C4">
            <w:pPr>
              <w:rPr>
                <w:rFonts w:ascii="Calibri" w:eastAsia="Times New Roman" w:hAnsi="Calibri"/>
                <w:sz w:val="24"/>
                <w:szCs w:val="24"/>
                <w:lang w:eastAsia="de-AT"/>
              </w:rPr>
            </w:pPr>
          </w:p>
        </w:tc>
      </w:tr>
      <w:tr w:rsidR="00C949C4" w:rsidRPr="002013FE" w:rsidTr="00C949C4">
        <w:tc>
          <w:tcPr>
            <w:tcW w:w="3168" w:type="dxa"/>
            <w:shd w:val="clear" w:color="auto" w:fill="auto"/>
          </w:tcPr>
          <w:p w:rsidR="00C949C4" w:rsidRPr="002013FE" w:rsidRDefault="00C949C4" w:rsidP="00C949C4">
            <w:pPr>
              <w:rPr>
                <w:rFonts w:eastAsia="Times New Roman"/>
                <w:color w:val="000000"/>
                <w:sz w:val="16"/>
                <w:lang w:val="es-ES_tradnl"/>
              </w:rPr>
            </w:pPr>
            <w:r w:rsidRPr="002013FE">
              <w:rPr>
                <w:rFonts w:eastAsia="Times New Roman"/>
                <w:color w:val="000000"/>
                <w:sz w:val="16"/>
                <w:lang w:val="es-ES_tradnl"/>
              </w:rPr>
              <w:t xml:space="preserve">46°40,887’ N / 16°0,865’ O </w:t>
            </w:r>
          </w:p>
          <w:p w:rsidR="00C949C4" w:rsidRPr="002013FE" w:rsidRDefault="00C949C4" w:rsidP="00C949C4">
            <w:pPr>
              <w:rPr>
                <w:rFonts w:eastAsia="Times New Roman"/>
                <w:color w:val="000000"/>
                <w:sz w:val="16"/>
                <w:lang w:val="es-ES_tradnl"/>
              </w:rPr>
            </w:pPr>
          </w:p>
          <w:p w:rsidR="00C949C4" w:rsidRPr="002013FE" w:rsidRDefault="00C949C4" w:rsidP="00C949C4">
            <w:pPr>
              <w:rPr>
                <w:rFonts w:eastAsia="Times New Roman"/>
                <w:color w:val="000000"/>
                <w:sz w:val="16"/>
                <w:lang w:val="es-ES_tradnl"/>
              </w:rPr>
            </w:pPr>
            <w:r w:rsidRPr="002013FE">
              <w:rPr>
                <w:rFonts w:eastAsia="Times New Roman"/>
                <w:color w:val="000000"/>
                <w:sz w:val="16"/>
                <w:lang w:val="es-ES_tradnl"/>
              </w:rPr>
              <w:t>Fläche: 2,4 ha (2,4246.82</w:t>
            </w:r>
            <w:r w:rsidRPr="002013FE">
              <w:rPr>
                <w:rFonts w:eastAsia="Times New Roman"/>
                <w:color w:val="000000"/>
                <w:sz w:val="16"/>
              </w:rPr>
              <w:t xml:space="preserve"> m</w:t>
            </w:r>
            <w:r w:rsidRPr="002013FE">
              <w:rPr>
                <w:rFonts w:eastAsia="Times New Roman"/>
                <w:color w:val="000000"/>
                <w:sz w:val="16"/>
                <w:vertAlign w:val="superscript"/>
              </w:rPr>
              <w:t>2</w:t>
            </w:r>
            <w:r w:rsidRPr="002013FE">
              <w:rPr>
                <w:rFonts w:eastAsia="Times New Roman"/>
                <w:color w:val="000000"/>
                <w:sz w:val="16"/>
                <w:lang w:val="es-ES_tradnl"/>
              </w:rPr>
              <w:t>)</w:t>
            </w:r>
          </w:p>
        </w:tc>
        <w:tc>
          <w:tcPr>
            <w:tcW w:w="6120" w:type="dxa"/>
            <w:gridSpan w:val="2"/>
            <w:vMerge/>
            <w:shd w:val="clear" w:color="auto" w:fill="auto"/>
          </w:tcPr>
          <w:p w:rsidR="00C949C4" w:rsidRPr="002013FE" w:rsidRDefault="00C949C4" w:rsidP="00DF038A">
            <w:pPr>
              <w:numPr>
                <w:ilvl w:val="0"/>
                <w:numId w:val="9"/>
              </w:numPr>
              <w:rPr>
                <w:rFonts w:ascii="Calibri" w:eastAsia="Times New Roman" w:hAnsi="Calibri"/>
                <w:sz w:val="24"/>
                <w:szCs w:val="24"/>
                <w:lang w:val="es-ES_tradnl" w:eastAsia="de-AT"/>
              </w:rPr>
            </w:pPr>
          </w:p>
        </w:tc>
      </w:tr>
    </w:tbl>
    <w:p w:rsidR="00C949C4" w:rsidRDefault="00C949C4" w:rsidP="0048165C">
      <w:pPr>
        <w:pStyle w:val="Beschriftung"/>
        <w:jc w:val="both"/>
      </w:pPr>
      <w:bookmarkStart w:id="12" w:name="_Toc532311572"/>
      <w:bookmarkStart w:id="13" w:name="_Toc7715392"/>
      <w:r>
        <w:t xml:space="preserve">Abbildung </w:t>
      </w:r>
      <w:fldSimple w:instr=" SEQ Abbildung \* ARABIC ">
        <w:r w:rsidR="000602EE">
          <w:rPr>
            <w:noProof/>
          </w:rPr>
          <w:t>1</w:t>
        </w:r>
      </w:fldSimple>
      <w:r>
        <w:t xml:space="preserve">: Versuchsflächen in der Steiermark. Laafeld </w:t>
      </w:r>
      <w:r w:rsidRPr="002013FE">
        <w:t>(E) und Dietzen (A,B) wurden seit 2012 mit GranMet</w:t>
      </w:r>
      <w:r w:rsidRPr="002013FE">
        <w:rPr>
          <w:vertAlign w:val="superscript"/>
        </w:rPr>
        <w:t>TM</w:t>
      </w:r>
      <w:r w:rsidRPr="002013FE">
        <w:t xml:space="preserve"> (BIPESCO 5) behandelt; die Kontrollflächen 2016 (C) und 2017 (D) waren unbehandelt (© 2017, GeoBasis-DE/BKG, Google)</w:t>
      </w:r>
      <w:bookmarkEnd w:id="12"/>
      <w:bookmarkEnd w:id="13"/>
    </w:p>
    <w:p w:rsidR="00C949C4" w:rsidRPr="002013FE" w:rsidRDefault="00C949C4" w:rsidP="00C949C4">
      <w:pPr>
        <w:pStyle w:val="Flietext"/>
      </w:pPr>
    </w:p>
    <w:p w:rsidR="00C949C4" w:rsidRPr="002013FE" w:rsidRDefault="00C949C4" w:rsidP="00C949C4">
      <w:pPr>
        <w:pStyle w:val="11Unterkapitel"/>
        <w:rPr>
          <w:lang w:eastAsia="de-AT"/>
        </w:rPr>
      </w:pPr>
      <w:r w:rsidRPr="002013FE">
        <w:rPr>
          <w:lang w:eastAsia="de-AT"/>
        </w:rPr>
        <w:br w:type="page"/>
      </w:r>
      <w:bookmarkStart w:id="14" w:name="_Toc532311604"/>
      <w:bookmarkStart w:id="15" w:name="_Toc7715554"/>
      <w:r w:rsidRPr="002013FE">
        <w:t>Versuchsstandorte Tirol</w:t>
      </w:r>
      <w:bookmarkEnd w:id="14"/>
      <w:bookmarkEnd w:id="15"/>
    </w:p>
    <w:p w:rsidR="00C949C4" w:rsidRPr="002013FE" w:rsidRDefault="00C949C4" w:rsidP="00C949C4">
      <w:pPr>
        <w:spacing w:before="270" w:line="270" w:lineRule="exact"/>
        <w:ind w:firstLine="709"/>
        <w:rPr>
          <w:rFonts w:eastAsia="Times New Roman"/>
          <w:b/>
          <w:bCs/>
          <w:color w:val="000000"/>
        </w:rPr>
      </w:pPr>
      <w:r w:rsidRPr="002013FE">
        <w:rPr>
          <w:rFonts w:eastAsia="Times New Roman"/>
          <w:b/>
          <w:bCs/>
          <w:color w:val="000000"/>
        </w:rPr>
        <w:t>Koordinaten der Versuchsflächen</w:t>
      </w:r>
    </w:p>
    <w:p w:rsidR="00C949C4" w:rsidRPr="002013FE" w:rsidRDefault="00C949C4" w:rsidP="00C949C4">
      <w:pPr>
        <w:rPr>
          <w:rFonts w:eastAsia="Times New Roman"/>
          <w:sz w:val="24"/>
          <w:szCs w:val="24"/>
          <w:lang w:val="es-ES_tradnl" w:eastAsia="de-AT"/>
        </w:rPr>
      </w:pPr>
    </w:p>
    <w:tbl>
      <w:tblPr>
        <w:tblW w:w="9772" w:type="dxa"/>
        <w:tblLook w:val="01E0" w:firstRow="1" w:lastRow="1" w:firstColumn="1" w:lastColumn="1" w:noHBand="0" w:noVBand="0"/>
      </w:tblPr>
      <w:tblGrid>
        <w:gridCol w:w="3652"/>
        <w:gridCol w:w="6120"/>
      </w:tblGrid>
      <w:tr w:rsidR="00C949C4" w:rsidRPr="002013FE" w:rsidTr="00C949C4">
        <w:tc>
          <w:tcPr>
            <w:tcW w:w="3652" w:type="dxa"/>
            <w:shd w:val="clear" w:color="auto" w:fill="auto"/>
          </w:tcPr>
          <w:p w:rsidR="00C949C4" w:rsidRPr="002013FE" w:rsidRDefault="00C949C4" w:rsidP="00C949C4">
            <w:pPr>
              <w:rPr>
                <w:rFonts w:eastAsia="Times New Roman"/>
                <w:b/>
                <w:bCs/>
                <w:color w:val="000000"/>
                <w:lang w:val="de-DE" w:eastAsia="de-DE"/>
              </w:rPr>
            </w:pPr>
            <w:r w:rsidRPr="002013FE">
              <w:rPr>
                <w:rFonts w:eastAsia="Times New Roman"/>
                <w:b/>
                <w:bCs/>
                <w:color w:val="000000"/>
                <w:lang w:val="de-DE" w:eastAsia="de-DE"/>
              </w:rPr>
              <w:t>Burgenfeld (Oberndorf)</w:t>
            </w:r>
            <w:r w:rsidRPr="002013FE">
              <w:rPr>
                <w:rFonts w:eastAsia="Times New Roman"/>
                <w:b/>
                <w:bCs/>
                <w:color w:val="000000"/>
                <w:vertAlign w:val="superscript"/>
                <w:lang w:val="de-DE" w:eastAsia="de-DE"/>
              </w:rPr>
              <w:t>A</w:t>
            </w:r>
          </w:p>
        </w:tc>
        <w:tc>
          <w:tcPr>
            <w:tcW w:w="6120" w:type="dxa"/>
            <w:shd w:val="clear" w:color="auto" w:fill="auto"/>
          </w:tcPr>
          <w:p w:rsidR="00C949C4" w:rsidRPr="002013FE" w:rsidRDefault="00C949C4" w:rsidP="00C949C4">
            <w:pPr>
              <w:rPr>
                <w:rFonts w:ascii="Calibri" w:eastAsia="Times New Roman" w:hAnsi="Calibri"/>
                <w:sz w:val="24"/>
                <w:szCs w:val="24"/>
                <w:lang w:eastAsia="de-AT"/>
              </w:rPr>
            </w:pPr>
          </w:p>
        </w:tc>
      </w:tr>
      <w:tr w:rsidR="00C949C4" w:rsidRPr="002013FE" w:rsidTr="00C949C4">
        <w:tc>
          <w:tcPr>
            <w:tcW w:w="3652"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47°30'32.47"N / 12°23'39.37"O</w:t>
            </w:r>
          </w:p>
        </w:tc>
        <w:tc>
          <w:tcPr>
            <w:tcW w:w="6120" w:type="dxa"/>
            <w:vMerge w:val="restart"/>
            <w:shd w:val="clear" w:color="auto" w:fill="auto"/>
          </w:tcPr>
          <w:p w:rsidR="00C949C4" w:rsidRPr="002013FE" w:rsidRDefault="00C949C4" w:rsidP="00C949C4">
            <w:pPr>
              <w:rPr>
                <w:rFonts w:ascii="Calibri" w:eastAsia="Times New Roman" w:hAnsi="Calibri"/>
                <w:sz w:val="24"/>
                <w:szCs w:val="24"/>
                <w:lang w:eastAsia="de-AT"/>
              </w:rPr>
            </w:pPr>
            <w:r w:rsidRPr="002013FE">
              <w:rPr>
                <w:rFonts w:ascii="Arial" w:eastAsia="Times New Roman" w:hAnsi="Arial" w:cs="Arial"/>
                <w:noProof/>
                <w:sz w:val="22"/>
                <w:szCs w:val="22"/>
                <w:lang w:eastAsia="de-AT"/>
              </w:rPr>
              <w:drawing>
                <wp:inline distT="0" distB="0" distL="0" distR="0" wp14:anchorId="2B112A0F" wp14:editId="4C873E11">
                  <wp:extent cx="2486025" cy="1933575"/>
                  <wp:effectExtent l="0" t="0" r="9525" b="9525"/>
                  <wp:docPr id="9216" name="Grafik 9216" title="Burgenf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486025" cy="1933575"/>
                          </a:xfrm>
                          <a:prstGeom prst="rect">
                            <a:avLst/>
                          </a:prstGeom>
                          <a:noFill/>
                          <a:ln>
                            <a:noFill/>
                          </a:ln>
                        </pic:spPr>
                      </pic:pic>
                    </a:graphicData>
                  </a:graphic>
                </wp:inline>
              </w:drawing>
            </w:r>
          </w:p>
        </w:tc>
      </w:tr>
      <w:tr w:rsidR="00C949C4" w:rsidRPr="002013FE" w:rsidTr="00C949C4">
        <w:tc>
          <w:tcPr>
            <w:tcW w:w="3652"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47°30'26.45"N / 12°23'44.20"O</w:t>
            </w:r>
          </w:p>
        </w:tc>
        <w:tc>
          <w:tcPr>
            <w:tcW w:w="6120" w:type="dxa"/>
            <w:vMerge/>
            <w:shd w:val="clear" w:color="auto" w:fill="auto"/>
          </w:tcPr>
          <w:p w:rsidR="00C949C4" w:rsidRPr="002013FE" w:rsidRDefault="00C949C4" w:rsidP="00C949C4">
            <w:pPr>
              <w:rPr>
                <w:rFonts w:ascii="Calibri" w:eastAsia="Times New Roman" w:hAnsi="Calibri"/>
                <w:sz w:val="24"/>
                <w:szCs w:val="24"/>
                <w:lang w:eastAsia="de-AT"/>
              </w:rPr>
            </w:pPr>
          </w:p>
        </w:tc>
      </w:tr>
      <w:tr w:rsidR="00C949C4" w:rsidRPr="002013FE" w:rsidTr="00C949C4">
        <w:tc>
          <w:tcPr>
            <w:tcW w:w="3652"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47°30'20.57"N / 12°23'44.01"O</w:t>
            </w:r>
          </w:p>
        </w:tc>
        <w:tc>
          <w:tcPr>
            <w:tcW w:w="6120" w:type="dxa"/>
            <w:vMerge/>
            <w:shd w:val="clear" w:color="auto" w:fill="auto"/>
          </w:tcPr>
          <w:p w:rsidR="00C949C4" w:rsidRPr="002013FE" w:rsidRDefault="00C949C4" w:rsidP="00C949C4">
            <w:pPr>
              <w:rPr>
                <w:rFonts w:ascii="Calibri" w:eastAsia="Times New Roman" w:hAnsi="Calibri"/>
                <w:sz w:val="24"/>
                <w:szCs w:val="24"/>
                <w:lang w:eastAsia="de-AT"/>
              </w:rPr>
            </w:pPr>
          </w:p>
        </w:tc>
      </w:tr>
      <w:tr w:rsidR="00C949C4" w:rsidRPr="002013FE" w:rsidTr="00C949C4">
        <w:tc>
          <w:tcPr>
            <w:tcW w:w="3652"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47°30'23.99"N / 12°23'33.76"O</w:t>
            </w:r>
          </w:p>
        </w:tc>
        <w:tc>
          <w:tcPr>
            <w:tcW w:w="6120" w:type="dxa"/>
            <w:vMerge/>
            <w:shd w:val="clear" w:color="auto" w:fill="auto"/>
          </w:tcPr>
          <w:p w:rsidR="00C949C4" w:rsidRPr="002013FE" w:rsidRDefault="00C949C4" w:rsidP="00C949C4">
            <w:pPr>
              <w:rPr>
                <w:rFonts w:ascii="Calibri" w:eastAsia="Times New Roman" w:hAnsi="Calibri"/>
                <w:sz w:val="24"/>
                <w:szCs w:val="24"/>
                <w:lang w:eastAsia="de-AT"/>
              </w:rPr>
            </w:pPr>
          </w:p>
        </w:tc>
      </w:tr>
      <w:tr w:rsidR="00C949C4" w:rsidRPr="002013FE" w:rsidTr="00C949C4">
        <w:tc>
          <w:tcPr>
            <w:tcW w:w="3652" w:type="dxa"/>
            <w:shd w:val="clear" w:color="auto" w:fill="auto"/>
          </w:tcPr>
          <w:p w:rsidR="00C949C4" w:rsidRPr="002013FE" w:rsidRDefault="00C949C4" w:rsidP="00C949C4">
            <w:pPr>
              <w:rPr>
                <w:rFonts w:eastAsia="Times New Roman"/>
                <w:color w:val="000000"/>
                <w:sz w:val="16"/>
              </w:rPr>
            </w:pPr>
          </w:p>
          <w:p w:rsidR="00C949C4" w:rsidRPr="002013FE" w:rsidRDefault="00C949C4" w:rsidP="00C949C4">
            <w:pPr>
              <w:rPr>
                <w:rFonts w:eastAsia="Times New Roman"/>
                <w:color w:val="000000"/>
                <w:sz w:val="16"/>
              </w:rPr>
            </w:pPr>
            <w:r w:rsidRPr="002013FE">
              <w:rPr>
                <w:rFonts w:eastAsia="Times New Roman"/>
                <w:color w:val="000000"/>
                <w:sz w:val="16"/>
              </w:rPr>
              <w:t xml:space="preserve">Fläche: 8,57 ha </w:t>
            </w:r>
          </w:p>
        </w:tc>
        <w:tc>
          <w:tcPr>
            <w:tcW w:w="6120" w:type="dxa"/>
            <w:vMerge/>
            <w:shd w:val="clear" w:color="auto" w:fill="auto"/>
          </w:tcPr>
          <w:p w:rsidR="00C949C4" w:rsidRPr="002013FE" w:rsidRDefault="00C949C4" w:rsidP="00C949C4">
            <w:pPr>
              <w:rPr>
                <w:rFonts w:ascii="Calibri" w:eastAsia="Times New Roman" w:hAnsi="Calibri"/>
                <w:sz w:val="24"/>
                <w:szCs w:val="24"/>
                <w:lang w:eastAsia="de-AT"/>
              </w:rPr>
            </w:pPr>
          </w:p>
        </w:tc>
      </w:tr>
      <w:tr w:rsidR="00C949C4" w:rsidRPr="00B07C29" w:rsidTr="00C949C4">
        <w:tc>
          <w:tcPr>
            <w:tcW w:w="3652" w:type="dxa"/>
            <w:shd w:val="clear" w:color="auto" w:fill="auto"/>
          </w:tcPr>
          <w:p w:rsidR="00C949C4" w:rsidRPr="002013FE" w:rsidRDefault="00C949C4" w:rsidP="00C949C4">
            <w:pPr>
              <w:rPr>
                <w:rFonts w:eastAsia="Times New Roman"/>
                <w:b/>
                <w:bCs/>
                <w:color w:val="000000"/>
                <w:lang w:val="en-US" w:eastAsia="de-DE"/>
              </w:rPr>
            </w:pPr>
            <w:r w:rsidRPr="002013FE">
              <w:rPr>
                <w:rFonts w:eastAsia="Times New Roman"/>
                <w:b/>
                <w:bCs/>
                <w:color w:val="000000"/>
                <w:lang w:val="en-US" w:eastAsia="de-DE"/>
              </w:rPr>
              <w:t>Kramat (St. Johann in Tirol)</w:t>
            </w:r>
            <w:r w:rsidRPr="002013FE">
              <w:rPr>
                <w:rFonts w:eastAsia="Times New Roman"/>
                <w:b/>
                <w:bCs/>
                <w:color w:val="000000"/>
                <w:vertAlign w:val="superscript"/>
                <w:lang w:val="en-US" w:eastAsia="de-DE"/>
              </w:rPr>
              <w:t>B</w:t>
            </w:r>
          </w:p>
        </w:tc>
        <w:tc>
          <w:tcPr>
            <w:tcW w:w="6120" w:type="dxa"/>
            <w:shd w:val="clear" w:color="auto" w:fill="auto"/>
          </w:tcPr>
          <w:p w:rsidR="00C949C4" w:rsidRPr="002013FE" w:rsidRDefault="00C949C4" w:rsidP="00C949C4">
            <w:pPr>
              <w:rPr>
                <w:rFonts w:ascii="Calibri" w:eastAsia="Times New Roman" w:hAnsi="Calibri"/>
                <w:sz w:val="24"/>
                <w:szCs w:val="24"/>
                <w:lang w:val="en-US" w:eastAsia="de-AT"/>
              </w:rPr>
            </w:pPr>
          </w:p>
        </w:tc>
      </w:tr>
      <w:tr w:rsidR="00C949C4" w:rsidRPr="002013FE" w:rsidTr="00C949C4">
        <w:tc>
          <w:tcPr>
            <w:tcW w:w="3652"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47°30'39.89"N / 12°23'43.76"O</w:t>
            </w:r>
          </w:p>
        </w:tc>
        <w:tc>
          <w:tcPr>
            <w:tcW w:w="6120" w:type="dxa"/>
            <w:vMerge w:val="restart"/>
            <w:shd w:val="clear" w:color="auto" w:fill="auto"/>
          </w:tcPr>
          <w:p w:rsidR="00C949C4" w:rsidRPr="002013FE" w:rsidRDefault="00C949C4" w:rsidP="00C949C4">
            <w:pPr>
              <w:rPr>
                <w:rFonts w:ascii="Calibri" w:eastAsia="Times New Roman" w:hAnsi="Calibri"/>
                <w:sz w:val="24"/>
                <w:szCs w:val="24"/>
                <w:lang w:val="en-GB" w:eastAsia="de-AT"/>
              </w:rPr>
            </w:pPr>
            <w:r w:rsidRPr="002013FE">
              <w:rPr>
                <w:rFonts w:ascii="Arial" w:eastAsia="Times New Roman" w:hAnsi="Arial" w:cs="Arial"/>
                <w:noProof/>
                <w:sz w:val="22"/>
                <w:szCs w:val="22"/>
                <w:lang w:eastAsia="de-AT"/>
              </w:rPr>
              <w:drawing>
                <wp:inline distT="0" distB="0" distL="0" distR="0" wp14:anchorId="7B64E9FD" wp14:editId="69718A9D">
                  <wp:extent cx="2495550" cy="2571750"/>
                  <wp:effectExtent l="0" t="0" r="0" b="0"/>
                  <wp:docPr id="9217" name="Grafik 9217" title="Kramat in Ti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495550" cy="2571750"/>
                          </a:xfrm>
                          <a:prstGeom prst="rect">
                            <a:avLst/>
                          </a:prstGeom>
                          <a:noFill/>
                          <a:ln>
                            <a:noFill/>
                          </a:ln>
                        </pic:spPr>
                      </pic:pic>
                    </a:graphicData>
                  </a:graphic>
                </wp:inline>
              </w:drawing>
            </w:r>
          </w:p>
        </w:tc>
      </w:tr>
      <w:tr w:rsidR="00C949C4" w:rsidRPr="002013FE" w:rsidTr="00C949C4">
        <w:tc>
          <w:tcPr>
            <w:tcW w:w="3652"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47°30'49.59"N / 12°23'39.38"O</w:t>
            </w:r>
          </w:p>
        </w:tc>
        <w:tc>
          <w:tcPr>
            <w:tcW w:w="6120" w:type="dxa"/>
            <w:vMerge/>
            <w:shd w:val="clear" w:color="auto" w:fill="auto"/>
          </w:tcPr>
          <w:p w:rsidR="00C949C4" w:rsidRPr="002013FE" w:rsidRDefault="00C949C4" w:rsidP="00C949C4">
            <w:pPr>
              <w:rPr>
                <w:rFonts w:ascii="Calibri" w:eastAsia="Times New Roman" w:hAnsi="Calibri"/>
                <w:sz w:val="24"/>
                <w:szCs w:val="24"/>
                <w:lang w:val="en-GB" w:eastAsia="de-AT"/>
              </w:rPr>
            </w:pPr>
          </w:p>
        </w:tc>
      </w:tr>
      <w:tr w:rsidR="00C949C4" w:rsidRPr="002013FE" w:rsidTr="00C949C4">
        <w:tc>
          <w:tcPr>
            <w:tcW w:w="3652"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47°30'47.18"N / 12°23'33.35"O</w:t>
            </w:r>
          </w:p>
        </w:tc>
        <w:tc>
          <w:tcPr>
            <w:tcW w:w="6120" w:type="dxa"/>
            <w:vMerge/>
            <w:shd w:val="clear" w:color="auto" w:fill="auto"/>
          </w:tcPr>
          <w:p w:rsidR="00C949C4" w:rsidRPr="002013FE" w:rsidRDefault="00C949C4" w:rsidP="00C949C4">
            <w:pPr>
              <w:rPr>
                <w:rFonts w:ascii="Calibri" w:eastAsia="Times New Roman" w:hAnsi="Calibri"/>
                <w:sz w:val="24"/>
                <w:szCs w:val="24"/>
                <w:lang w:val="en-GB" w:eastAsia="de-AT"/>
              </w:rPr>
            </w:pPr>
          </w:p>
        </w:tc>
      </w:tr>
      <w:tr w:rsidR="00C949C4" w:rsidRPr="002013FE" w:rsidTr="00C949C4">
        <w:tc>
          <w:tcPr>
            <w:tcW w:w="3652" w:type="dxa"/>
            <w:shd w:val="clear" w:color="auto" w:fill="auto"/>
          </w:tcPr>
          <w:p w:rsidR="00185188" w:rsidRDefault="00C949C4" w:rsidP="00185188">
            <w:pPr>
              <w:rPr>
                <w:rFonts w:eastAsia="Times New Roman"/>
                <w:color w:val="000000"/>
                <w:sz w:val="16"/>
              </w:rPr>
            </w:pPr>
            <w:r w:rsidRPr="002013FE">
              <w:rPr>
                <w:rFonts w:eastAsia="Times New Roman"/>
                <w:color w:val="000000"/>
                <w:sz w:val="16"/>
              </w:rPr>
              <w:t>47°30'34.58"N / 12°23'40.40"O</w:t>
            </w:r>
          </w:p>
          <w:p w:rsidR="00185188" w:rsidRDefault="00185188" w:rsidP="00185188">
            <w:pPr>
              <w:rPr>
                <w:rFonts w:eastAsia="Times New Roman"/>
                <w:color w:val="000000"/>
                <w:sz w:val="16"/>
              </w:rPr>
            </w:pPr>
          </w:p>
          <w:p w:rsidR="00C949C4" w:rsidRPr="002013FE" w:rsidRDefault="00C949C4" w:rsidP="00185188">
            <w:pPr>
              <w:rPr>
                <w:rFonts w:eastAsia="Times New Roman"/>
                <w:color w:val="000000"/>
                <w:sz w:val="16"/>
              </w:rPr>
            </w:pPr>
            <w:r w:rsidRPr="002013FE">
              <w:rPr>
                <w:rFonts w:eastAsia="Times New Roman"/>
                <w:color w:val="000000"/>
                <w:sz w:val="16"/>
              </w:rPr>
              <w:t>Fläche: 5,02 ha</w:t>
            </w:r>
          </w:p>
        </w:tc>
        <w:tc>
          <w:tcPr>
            <w:tcW w:w="6120" w:type="dxa"/>
            <w:vMerge/>
            <w:shd w:val="clear" w:color="auto" w:fill="auto"/>
          </w:tcPr>
          <w:p w:rsidR="00C949C4" w:rsidRPr="002013FE" w:rsidRDefault="00C949C4" w:rsidP="00C949C4">
            <w:pPr>
              <w:rPr>
                <w:rFonts w:ascii="Calibri" w:eastAsia="Times New Roman" w:hAnsi="Calibri"/>
                <w:sz w:val="24"/>
                <w:szCs w:val="24"/>
                <w:lang w:eastAsia="de-AT"/>
              </w:rPr>
            </w:pPr>
          </w:p>
        </w:tc>
      </w:tr>
      <w:tr w:rsidR="00C949C4" w:rsidRPr="002013FE" w:rsidTr="00C949C4">
        <w:tc>
          <w:tcPr>
            <w:tcW w:w="3652" w:type="dxa"/>
            <w:shd w:val="clear" w:color="auto" w:fill="auto"/>
          </w:tcPr>
          <w:p w:rsidR="00C949C4" w:rsidRPr="002013FE" w:rsidRDefault="00C949C4" w:rsidP="00C949C4">
            <w:pPr>
              <w:rPr>
                <w:rFonts w:eastAsia="Times New Roman"/>
                <w:b/>
                <w:bCs/>
                <w:color w:val="000000"/>
                <w:lang w:val="de-DE" w:eastAsia="de-DE"/>
              </w:rPr>
            </w:pPr>
            <w:r w:rsidRPr="002013FE">
              <w:rPr>
                <w:rFonts w:eastAsia="Times New Roman"/>
                <w:b/>
                <w:bCs/>
                <w:color w:val="000000"/>
                <w:lang w:val="de-DE" w:eastAsia="de-DE"/>
              </w:rPr>
              <w:t>Kontrollfläche (St. Johann i. T.)</w:t>
            </w:r>
            <w:r w:rsidRPr="002013FE">
              <w:rPr>
                <w:rFonts w:eastAsia="Times New Roman"/>
                <w:b/>
                <w:bCs/>
                <w:color w:val="000000"/>
                <w:vertAlign w:val="superscript"/>
                <w:lang w:val="de-DE" w:eastAsia="de-DE"/>
              </w:rPr>
              <w:t xml:space="preserve">C </w:t>
            </w:r>
          </w:p>
        </w:tc>
        <w:tc>
          <w:tcPr>
            <w:tcW w:w="6120" w:type="dxa"/>
            <w:shd w:val="clear" w:color="auto" w:fill="auto"/>
          </w:tcPr>
          <w:p w:rsidR="00C949C4" w:rsidRPr="002013FE" w:rsidRDefault="00C949C4" w:rsidP="00C949C4">
            <w:pPr>
              <w:rPr>
                <w:rFonts w:ascii="Calibri" w:eastAsia="Times New Roman" w:hAnsi="Calibri"/>
                <w:sz w:val="24"/>
                <w:szCs w:val="24"/>
                <w:lang w:eastAsia="de-AT"/>
              </w:rPr>
            </w:pPr>
          </w:p>
        </w:tc>
      </w:tr>
      <w:tr w:rsidR="00C949C4" w:rsidRPr="002013FE" w:rsidTr="00C949C4">
        <w:tc>
          <w:tcPr>
            <w:tcW w:w="3652" w:type="dxa"/>
            <w:shd w:val="clear" w:color="auto" w:fill="auto"/>
          </w:tcPr>
          <w:p w:rsidR="00C949C4" w:rsidRPr="002013FE" w:rsidRDefault="00C949C4" w:rsidP="00C949C4">
            <w:pPr>
              <w:rPr>
                <w:rFonts w:eastAsia="Times New Roman"/>
                <w:color w:val="000000"/>
                <w:sz w:val="16"/>
              </w:rPr>
            </w:pPr>
            <w:r w:rsidRPr="002013FE">
              <w:rPr>
                <w:rFonts w:eastAsia="Times New Roman"/>
                <w:color w:val="000000"/>
                <w:sz w:val="16"/>
              </w:rPr>
              <w:t>47°31'5.58"N/ 12°24'6.71"O</w:t>
            </w:r>
          </w:p>
        </w:tc>
        <w:tc>
          <w:tcPr>
            <w:tcW w:w="6120" w:type="dxa"/>
            <w:shd w:val="clear" w:color="auto" w:fill="auto"/>
          </w:tcPr>
          <w:p w:rsidR="00C949C4" w:rsidRPr="002013FE" w:rsidRDefault="00C949C4" w:rsidP="00C949C4">
            <w:pPr>
              <w:rPr>
                <w:rFonts w:ascii="Arial" w:eastAsia="Times New Roman" w:hAnsi="Arial" w:cs="Arial"/>
                <w:sz w:val="22"/>
                <w:szCs w:val="22"/>
                <w:lang w:val="es-ES_tradnl" w:eastAsia="en-GB"/>
              </w:rPr>
            </w:pPr>
          </w:p>
        </w:tc>
      </w:tr>
      <w:tr w:rsidR="00C949C4" w:rsidRPr="002013FE" w:rsidTr="00C949C4">
        <w:tc>
          <w:tcPr>
            <w:tcW w:w="3652" w:type="dxa"/>
            <w:shd w:val="clear" w:color="auto" w:fill="auto"/>
          </w:tcPr>
          <w:p w:rsidR="00C949C4" w:rsidRPr="002013FE" w:rsidRDefault="00C949C4" w:rsidP="00C949C4">
            <w:pPr>
              <w:rPr>
                <w:rFonts w:eastAsia="Times New Roman"/>
                <w:color w:val="000000"/>
                <w:sz w:val="16"/>
                <w:lang w:val="en-US"/>
              </w:rPr>
            </w:pPr>
            <w:r w:rsidRPr="002013FE">
              <w:rPr>
                <w:rFonts w:eastAsia="Times New Roman"/>
                <w:color w:val="000000"/>
                <w:sz w:val="16"/>
                <w:lang w:val="en-US"/>
              </w:rPr>
              <w:t>47°31'11.37"N/ 12°23'45.69"O</w:t>
            </w:r>
          </w:p>
          <w:p w:rsidR="00C949C4" w:rsidRPr="002013FE" w:rsidRDefault="00C949C4" w:rsidP="00C949C4">
            <w:pPr>
              <w:rPr>
                <w:rFonts w:eastAsia="Times New Roman"/>
                <w:color w:val="000000"/>
                <w:sz w:val="16"/>
                <w:lang w:val="en-US"/>
              </w:rPr>
            </w:pPr>
            <w:r w:rsidRPr="002013FE">
              <w:rPr>
                <w:rFonts w:eastAsia="Times New Roman"/>
                <w:color w:val="000000"/>
                <w:sz w:val="16"/>
                <w:lang w:val="en-US"/>
              </w:rPr>
              <w:t>47°31'3.63"N/ 12°23'53.95"O</w:t>
            </w:r>
          </w:p>
          <w:p w:rsidR="00C949C4" w:rsidRPr="002013FE" w:rsidRDefault="00C949C4" w:rsidP="00C949C4">
            <w:pPr>
              <w:rPr>
                <w:rFonts w:eastAsia="Times New Roman"/>
                <w:color w:val="000000"/>
                <w:sz w:val="16"/>
                <w:lang w:val="en-US"/>
              </w:rPr>
            </w:pPr>
            <w:r w:rsidRPr="002013FE">
              <w:rPr>
                <w:rFonts w:eastAsia="Times New Roman"/>
                <w:color w:val="000000"/>
                <w:sz w:val="16"/>
                <w:lang w:val="en-US"/>
              </w:rPr>
              <w:t>47°31'1.76"N/ 12°24'2.44"O</w:t>
            </w:r>
          </w:p>
          <w:p w:rsidR="00C949C4" w:rsidRPr="002013FE" w:rsidRDefault="00C949C4" w:rsidP="00C949C4">
            <w:pPr>
              <w:rPr>
                <w:rFonts w:eastAsia="Times New Roman"/>
                <w:color w:val="000000"/>
                <w:sz w:val="16"/>
                <w:lang w:val="en-US"/>
              </w:rPr>
            </w:pPr>
          </w:p>
          <w:p w:rsidR="00C949C4" w:rsidRPr="002013FE" w:rsidRDefault="00185188" w:rsidP="00C949C4">
            <w:pPr>
              <w:rPr>
                <w:rFonts w:eastAsia="Times New Roman"/>
                <w:color w:val="000000"/>
                <w:sz w:val="16"/>
              </w:rPr>
            </w:pPr>
            <w:r>
              <w:rPr>
                <w:rFonts w:eastAsia="Times New Roman"/>
                <w:color w:val="000000"/>
                <w:sz w:val="16"/>
              </w:rPr>
              <w:t>Fläche: 3,69 ha</w:t>
            </w:r>
          </w:p>
          <w:p w:rsidR="00C949C4" w:rsidRPr="002013FE" w:rsidRDefault="00C949C4" w:rsidP="00C949C4">
            <w:pPr>
              <w:rPr>
                <w:rFonts w:eastAsia="Times New Roman"/>
                <w:color w:val="000000"/>
                <w:sz w:val="16"/>
              </w:rPr>
            </w:pPr>
          </w:p>
        </w:tc>
        <w:tc>
          <w:tcPr>
            <w:tcW w:w="6120" w:type="dxa"/>
            <w:shd w:val="clear" w:color="auto" w:fill="auto"/>
          </w:tcPr>
          <w:p w:rsidR="00C949C4" w:rsidRPr="002013FE" w:rsidRDefault="00C949C4" w:rsidP="00C949C4">
            <w:pPr>
              <w:rPr>
                <w:rFonts w:ascii="Arial" w:eastAsia="Times New Roman" w:hAnsi="Arial" w:cs="Arial"/>
                <w:sz w:val="22"/>
                <w:szCs w:val="22"/>
                <w:lang w:val="es-ES_tradnl" w:eastAsia="en-GB"/>
              </w:rPr>
            </w:pPr>
            <w:r w:rsidRPr="002013FE">
              <w:rPr>
                <w:rFonts w:ascii="Arial" w:eastAsia="Times New Roman" w:hAnsi="Arial" w:cs="Arial"/>
                <w:noProof/>
                <w:sz w:val="22"/>
                <w:szCs w:val="22"/>
                <w:lang w:eastAsia="de-AT"/>
              </w:rPr>
              <w:drawing>
                <wp:inline distT="0" distB="0" distL="0" distR="0" wp14:anchorId="43DFA50B" wp14:editId="75CB6212">
                  <wp:extent cx="2476500" cy="2028825"/>
                  <wp:effectExtent l="0" t="0" r="0" b="9525"/>
                  <wp:docPr id="9218" name="Grafik 9218" title="Versuchsfläche Ti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476500" cy="2028825"/>
                          </a:xfrm>
                          <a:prstGeom prst="rect">
                            <a:avLst/>
                          </a:prstGeom>
                          <a:noFill/>
                          <a:ln>
                            <a:noFill/>
                          </a:ln>
                        </pic:spPr>
                      </pic:pic>
                    </a:graphicData>
                  </a:graphic>
                </wp:inline>
              </w:drawing>
            </w:r>
          </w:p>
        </w:tc>
      </w:tr>
      <w:tr w:rsidR="00C949C4" w:rsidRPr="002013FE" w:rsidTr="00C949C4">
        <w:tc>
          <w:tcPr>
            <w:tcW w:w="3652" w:type="dxa"/>
            <w:shd w:val="clear" w:color="auto" w:fill="auto"/>
          </w:tcPr>
          <w:p w:rsidR="00C949C4" w:rsidRPr="002013FE" w:rsidRDefault="00C949C4" w:rsidP="00C949C4">
            <w:pPr>
              <w:ind w:right="-167"/>
              <w:rPr>
                <w:rFonts w:ascii="Calibri" w:eastAsia="Times New Roman" w:hAnsi="Calibri"/>
                <w:sz w:val="24"/>
                <w:szCs w:val="24"/>
                <w:lang w:eastAsia="de-AT"/>
              </w:rPr>
            </w:pPr>
          </w:p>
        </w:tc>
        <w:tc>
          <w:tcPr>
            <w:tcW w:w="6120" w:type="dxa"/>
            <w:shd w:val="clear" w:color="auto" w:fill="auto"/>
          </w:tcPr>
          <w:p w:rsidR="00C949C4" w:rsidRPr="002013FE" w:rsidRDefault="00C949C4" w:rsidP="00C949C4">
            <w:pPr>
              <w:rPr>
                <w:rFonts w:ascii="Arial" w:eastAsia="Times New Roman" w:hAnsi="Arial" w:cs="Arial"/>
                <w:sz w:val="22"/>
                <w:szCs w:val="22"/>
                <w:lang w:val="es-ES_tradnl" w:eastAsia="en-GB"/>
              </w:rPr>
            </w:pPr>
          </w:p>
        </w:tc>
      </w:tr>
    </w:tbl>
    <w:p w:rsidR="00C949C4" w:rsidRPr="002013FE" w:rsidRDefault="00C949C4" w:rsidP="00C949C4">
      <w:pPr>
        <w:pStyle w:val="Beschriftung"/>
      </w:pPr>
      <w:bookmarkStart w:id="16" w:name="_Toc532311573"/>
      <w:bookmarkStart w:id="17" w:name="_Toc7715393"/>
      <w:r>
        <w:t xml:space="preserve">Abbildung </w:t>
      </w:r>
      <w:fldSimple w:instr=" SEQ Abbildung \* ARABIC ">
        <w:r w:rsidR="000602EE">
          <w:rPr>
            <w:noProof/>
          </w:rPr>
          <w:t>2</w:t>
        </w:r>
      </w:fldSimple>
      <w:r>
        <w:t xml:space="preserve">: </w:t>
      </w:r>
      <w:r w:rsidRPr="002013FE">
        <w:t>Versuchsflächen in Tirol: Burgenfeld (A), Kramat (B) und die Kontrollfläche (C) galten bis Frühjahr 2016 als Metarhizium unbehandelt. (© 2016 GeoBasis-DE/BKG, Google)</w:t>
      </w:r>
      <w:bookmarkEnd w:id="16"/>
      <w:bookmarkEnd w:id="17"/>
    </w:p>
    <w:p w:rsidR="00C949C4" w:rsidRPr="002013FE" w:rsidRDefault="00C949C4" w:rsidP="00C949C4">
      <w:pPr>
        <w:pStyle w:val="1Unterkapitel"/>
        <w:rPr>
          <w:sz w:val="22"/>
          <w:szCs w:val="22"/>
        </w:rPr>
      </w:pPr>
      <w:r w:rsidRPr="002013FE">
        <w:br w:type="page"/>
      </w:r>
      <w:bookmarkStart w:id="18" w:name="_Toc532311605"/>
      <w:bookmarkStart w:id="19" w:name="_Toc7715555"/>
      <w:r w:rsidRPr="002013FE">
        <w:t xml:space="preserve">Inokulative Massenapplikation </w:t>
      </w:r>
      <w:r w:rsidRPr="002013FE">
        <w:rPr>
          <w:sz w:val="22"/>
          <w:szCs w:val="22"/>
        </w:rPr>
        <w:t>von GranMet</w:t>
      </w:r>
      <w:r w:rsidRPr="002013FE">
        <w:rPr>
          <w:sz w:val="22"/>
          <w:szCs w:val="22"/>
          <w:vertAlign w:val="superscript"/>
        </w:rPr>
        <w:t>TM</w:t>
      </w:r>
      <w:bookmarkEnd w:id="18"/>
      <w:bookmarkEnd w:id="19"/>
    </w:p>
    <w:p w:rsidR="00C949C4" w:rsidRPr="002013FE" w:rsidRDefault="00C949C4" w:rsidP="000602EE">
      <w:pPr>
        <w:pStyle w:val="Flietext"/>
        <w:jc w:val="both"/>
      </w:pPr>
      <w:r w:rsidRPr="001D3CB3">
        <w:t>Das GranMet</w:t>
      </w:r>
      <w:r w:rsidRPr="001D3CB3">
        <w:rPr>
          <w:vertAlign w:val="superscript"/>
        </w:rPr>
        <w:t xml:space="preserve">TM </w:t>
      </w:r>
      <w:r w:rsidRPr="001D3CB3">
        <w:t>Pilzgerste-Granulat, welches von der Firma Agrifutur s.r.l. (Alfianello/Italien) bereitgestellt wurde, wurde mittels Granulatstreuer, unmittelbar vor der konventionellen Feldbearbeitung appliziert</w:t>
      </w:r>
      <w:r w:rsidR="000602EE" w:rsidRPr="001D3CB3">
        <w:t xml:space="preserve"> (Abbildung 3)</w:t>
      </w:r>
      <w:r w:rsidRPr="001D3CB3">
        <w:t>. Die</w:t>
      </w:r>
      <w:r>
        <w:t xml:space="preserve"> Applikation erfolgte </w:t>
      </w:r>
      <w:r w:rsidRPr="002013FE">
        <w:t xml:space="preserve">im April (Steiermark) sowie Anfang Mai (Tirol), </w:t>
      </w:r>
      <w:r w:rsidRPr="002013FE">
        <w:rPr>
          <w:lang w:eastAsia="en-GB"/>
        </w:rPr>
        <w:t>mit einer Aufwandmenge von 50 kg ha</w:t>
      </w:r>
      <w:r w:rsidRPr="002013FE">
        <w:rPr>
          <w:vertAlign w:val="superscript"/>
          <w:lang w:eastAsia="en-GB"/>
        </w:rPr>
        <w:t>-1</w:t>
      </w:r>
      <w:r w:rsidRPr="002013FE">
        <w:rPr>
          <w:lang w:eastAsia="en-GB"/>
        </w:rPr>
        <w:t xml:space="preserve"> Jahr</w:t>
      </w:r>
      <w:r w:rsidRPr="002013FE">
        <w:rPr>
          <w:vertAlign w:val="superscript"/>
          <w:lang w:eastAsia="en-GB"/>
        </w:rPr>
        <w:t>-1</w:t>
      </w:r>
      <w:r w:rsidRPr="002013FE">
        <w:rPr>
          <w:lang w:eastAsia="en-GB"/>
        </w:rPr>
        <w:t>,</w:t>
      </w:r>
      <w:r w:rsidRPr="002013FE">
        <w:rPr>
          <w:vertAlign w:val="superscript"/>
          <w:lang w:eastAsia="en-GB"/>
        </w:rPr>
        <w:t xml:space="preserve"> </w:t>
      </w:r>
      <w:r w:rsidRPr="002013FE">
        <w:rPr>
          <w:lang w:eastAsia="en-GB"/>
        </w:rPr>
        <w:t>drei Mal</w:t>
      </w:r>
      <w:r>
        <w:rPr>
          <w:lang w:eastAsia="en-GB"/>
        </w:rPr>
        <w:t xml:space="preserve"> insgesamt </w:t>
      </w:r>
      <w:r w:rsidRPr="002013FE">
        <w:rPr>
          <w:lang w:eastAsia="en-GB"/>
        </w:rPr>
        <w:t>im Rahmen des DIACONT –Projektes</w:t>
      </w:r>
      <w:r>
        <w:rPr>
          <w:lang w:eastAsia="en-GB"/>
        </w:rPr>
        <w:t>.</w:t>
      </w:r>
    </w:p>
    <w:p w:rsidR="00C949C4" w:rsidRPr="002013FE" w:rsidRDefault="00474E4D" w:rsidP="00C949C4">
      <w:pPr>
        <w:rPr>
          <w:rFonts w:ascii="Arial" w:eastAsia="Times New Roman" w:hAnsi="Arial" w:cs="Arial"/>
          <w:b/>
          <w:sz w:val="22"/>
          <w:szCs w:val="22"/>
          <w:lang w:val="de-DE" w:eastAsia="it-IT"/>
        </w:rPr>
      </w:pPr>
      <w:r w:rsidRPr="002013FE">
        <w:rPr>
          <w:rFonts w:ascii="MetaCorr" w:eastAsia="Times New Roman" w:hAnsi="MetaCorr"/>
          <w:noProof/>
          <w:sz w:val="24"/>
          <w:szCs w:val="24"/>
          <w:lang w:eastAsia="de-AT"/>
        </w:rPr>
        <w:drawing>
          <wp:anchor distT="0" distB="0" distL="114300" distR="114300" simplePos="0" relativeHeight="251474432" behindDoc="0" locked="0" layoutInCell="1" allowOverlap="1" wp14:anchorId="11F8C7B5" wp14:editId="1012359C">
            <wp:simplePos x="0" y="0"/>
            <wp:positionH relativeFrom="column">
              <wp:posOffset>2927672</wp:posOffset>
            </wp:positionH>
            <wp:positionV relativeFrom="paragraph">
              <wp:posOffset>15875</wp:posOffset>
            </wp:positionV>
            <wp:extent cx="3021965" cy="1835150"/>
            <wp:effectExtent l="0" t="0" r="6985" b="0"/>
            <wp:wrapNone/>
            <wp:docPr id="9239" name="Grafik 9239" descr="incorporation_fcbks_plough_h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ncorporation_fcbks_plough_harrow"/>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021965" cy="1835150"/>
                    </a:xfrm>
                    <a:prstGeom prst="rect">
                      <a:avLst/>
                    </a:prstGeom>
                    <a:noFill/>
                    <a:ln>
                      <a:noFill/>
                    </a:ln>
                  </pic:spPr>
                </pic:pic>
              </a:graphicData>
            </a:graphic>
            <wp14:sizeRelH relativeFrom="page">
              <wp14:pctWidth>0</wp14:pctWidth>
            </wp14:sizeRelH>
            <wp14:sizeRelV relativeFrom="page">
              <wp14:pctHeight>0</wp14:pctHeight>
            </wp14:sizeRelV>
          </wp:anchor>
        </w:drawing>
      </w:r>
      <w:r w:rsidR="00C949C4" w:rsidRPr="002013FE">
        <w:rPr>
          <w:rFonts w:ascii="MetaCorr" w:eastAsia="Times New Roman" w:hAnsi="MetaCorr"/>
          <w:noProof/>
          <w:sz w:val="24"/>
          <w:szCs w:val="24"/>
          <w:lang w:eastAsia="de-AT"/>
        </w:rPr>
        <w:drawing>
          <wp:inline distT="0" distB="0" distL="0" distR="0">
            <wp:extent cx="2868295" cy="1835150"/>
            <wp:effectExtent l="0" t="0" r="8255" b="0"/>
            <wp:docPr id="9238" name="Grafik 9238" descr="P102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102016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68295" cy="1835150"/>
                    </a:xfrm>
                    <a:prstGeom prst="rect">
                      <a:avLst/>
                    </a:prstGeom>
                    <a:noFill/>
                    <a:ln>
                      <a:noFill/>
                    </a:ln>
                  </pic:spPr>
                </pic:pic>
              </a:graphicData>
            </a:graphic>
          </wp:inline>
        </w:drawing>
      </w:r>
    </w:p>
    <w:p w:rsidR="00C949C4" w:rsidRPr="002013FE" w:rsidRDefault="00C949C4" w:rsidP="00C949C4">
      <w:pPr>
        <w:pStyle w:val="Beschriftung"/>
      </w:pPr>
      <w:bookmarkStart w:id="20" w:name="_Toc532311574"/>
      <w:bookmarkStart w:id="21" w:name="_Toc7715394"/>
      <w:r>
        <w:t xml:space="preserve">Abbildung </w:t>
      </w:r>
      <w:fldSimple w:instr=" SEQ Abbildung \* ARABIC ">
        <w:r w:rsidR="000602EE">
          <w:rPr>
            <w:noProof/>
          </w:rPr>
          <w:t>3</w:t>
        </w:r>
      </w:fldSimple>
      <w:r>
        <w:t>:</w:t>
      </w:r>
      <w:r w:rsidRPr="002013FE">
        <w:t xml:space="preserve"> Applikation von GranMet</w:t>
      </w:r>
      <w:r w:rsidRPr="002013FE">
        <w:rPr>
          <w:vertAlign w:val="superscript"/>
        </w:rPr>
        <w:t>TM</w:t>
      </w:r>
      <w:r w:rsidRPr="002013FE">
        <w:t xml:space="preserve"> mit Granulatstreuer und Scheibenegge (Strasser ©)</w:t>
      </w:r>
      <w:bookmarkEnd w:id="20"/>
      <w:bookmarkEnd w:id="21"/>
    </w:p>
    <w:p w:rsidR="00C949C4" w:rsidRPr="002013FE" w:rsidRDefault="00C949C4" w:rsidP="00C949C4">
      <w:pPr>
        <w:rPr>
          <w:rFonts w:ascii="Arial" w:eastAsia="Times New Roman" w:hAnsi="Arial" w:cs="Arial"/>
          <w:bCs/>
          <w:kern w:val="32"/>
          <w:sz w:val="22"/>
          <w:szCs w:val="22"/>
          <w:lang w:eastAsia="it-IT"/>
        </w:rPr>
      </w:pPr>
    </w:p>
    <w:p w:rsidR="00C949C4" w:rsidRPr="002013FE" w:rsidRDefault="00C949C4" w:rsidP="00C949C4">
      <w:pPr>
        <w:pStyle w:val="1Unterkapitel"/>
      </w:pPr>
      <w:bookmarkStart w:id="22" w:name="_Toc532311606"/>
      <w:bookmarkStart w:id="23" w:name="_Toc7715556"/>
      <w:r w:rsidRPr="002013FE">
        <w:t>Käfermonitoring</w:t>
      </w:r>
      <w:bookmarkEnd w:id="22"/>
      <w:bookmarkEnd w:id="23"/>
    </w:p>
    <w:p w:rsidR="00C949C4" w:rsidRPr="002013FE" w:rsidRDefault="00C949C4" w:rsidP="000602EE">
      <w:pPr>
        <w:pStyle w:val="Flietext"/>
        <w:jc w:val="both"/>
      </w:pPr>
      <w:r w:rsidRPr="002013FE">
        <w:t>Zur Feststellung des Maiswurzelbohrer-Käferschlupfes wurde das Schlupfkäfigsystem Rauch, Zelger und Strasser (2016) und die PAL</w:t>
      </w:r>
      <w:r w:rsidRPr="002013FE">
        <w:rPr>
          <w:bCs/>
          <w:kern w:val="32"/>
        </w:rPr>
        <w:t xml:space="preserve"> Pheromon-Klebefallen </w:t>
      </w:r>
      <w:r w:rsidRPr="002013FE">
        <w:t>(CSALOMON</w:t>
      </w:r>
      <w:r w:rsidRPr="002013FE">
        <w:rPr>
          <w:vertAlign w:val="superscript"/>
        </w:rPr>
        <w:t>TM</w:t>
      </w:r>
      <w:r w:rsidRPr="002013FE">
        <w:t>, 1525 Budapest, Hungary) verwendet.</w:t>
      </w:r>
    </w:p>
    <w:p w:rsidR="00C949C4" w:rsidRPr="002013FE" w:rsidRDefault="00C949C4" w:rsidP="00C949C4">
      <w:pPr>
        <w:pStyle w:val="11Unterkapitel"/>
      </w:pPr>
      <w:bookmarkStart w:id="24" w:name="_Toc532311607"/>
      <w:bookmarkStart w:id="25" w:name="_Toc7715557"/>
      <w:r w:rsidRPr="002013FE">
        <w:t>Käfermonitoring in der Steiermark</w:t>
      </w:r>
      <w:bookmarkEnd w:id="24"/>
      <w:bookmarkEnd w:id="25"/>
      <w:r w:rsidRPr="002013FE">
        <w:t xml:space="preserve"> </w:t>
      </w:r>
    </w:p>
    <w:p w:rsidR="00C949C4" w:rsidRPr="002013FE" w:rsidRDefault="00C949C4" w:rsidP="00443789">
      <w:pPr>
        <w:pStyle w:val="Flietext"/>
        <w:jc w:val="both"/>
      </w:pPr>
      <w:r w:rsidRPr="002013FE">
        <w:t>In der Steiermark wurden, am 21. Juni 2016 und am 20. Juni 2017, auf der Versuchsfläche Dietzen und auf den Kontrollflächen Dietzen (2016) und Rossschädl (Donnersdorf, 2017) bis zu 60 Schlupfkäfige aufgebaut (d. h. 50 Käfige ha</w:t>
      </w:r>
      <w:r w:rsidRPr="002013FE">
        <w:rPr>
          <w:vertAlign w:val="superscript"/>
        </w:rPr>
        <w:t>1</w:t>
      </w:r>
      <w:r w:rsidRPr="002013FE">
        <w:t>): Abstand von 10 bis 15 Reihen - Maisreihenabstand 75 cm. In der Maisreihe selbst wurden bis zu acht Fallen im Abstand von 25 m installiert. Fünf Pflanzen pro Käfig wurden pyramidenförmig mit einer Spargelfolie überspannt (Fläche: 1,10 m</w:t>
      </w:r>
      <w:r w:rsidRPr="002013FE">
        <w:rPr>
          <w:vertAlign w:val="superscript"/>
        </w:rPr>
        <w:t>2</w:t>
      </w:r>
      <w:r w:rsidRPr="002013FE">
        <w:t>, siehe Abb. 1a - 1. Zwischenbericht 2016 - www.dafne.at). Die Fallen wurden wöchentlich, beginnend mit 27. Juni 2016 und 01. Juli 2017, letzte Fallenvisite: 07. September 2016 bzw. 26. August 2017, ausgewertet. Das Käfermonitoring mit Schlupfkäfigen wurde im Versuchsjahr 2018 auf den drei Versuchsflächen in Dedenitz durchgeführt. Diese Fallen wurden von Partner 2 (Biohelp) gewartet und ausgewertet.</w:t>
      </w:r>
    </w:p>
    <w:p w:rsidR="00C949C4" w:rsidRPr="002013FE" w:rsidRDefault="00C949C4" w:rsidP="00C949C4">
      <w:pPr>
        <w:pStyle w:val="11Unterkapitel"/>
      </w:pPr>
      <w:bookmarkStart w:id="26" w:name="_Toc532311608"/>
      <w:bookmarkStart w:id="27" w:name="_Toc7715558"/>
      <w:r w:rsidRPr="002013FE">
        <w:t>Käfermonitoring in Tirol</w:t>
      </w:r>
      <w:bookmarkEnd w:id="26"/>
      <w:bookmarkEnd w:id="27"/>
    </w:p>
    <w:p w:rsidR="00C949C4" w:rsidRPr="002013FE" w:rsidRDefault="00C949C4" w:rsidP="00443789">
      <w:pPr>
        <w:pStyle w:val="Flietext"/>
        <w:jc w:val="both"/>
      </w:pPr>
      <w:r w:rsidRPr="002013FE">
        <w:t>In Tirol wurden am 6. Juli 2016 und 5. Juli 2017 auf den zwei Versuchsflächen und auf der Kontrollfläche je 30 Schlupfkäfige aufgebaut (min. 24 Fallen ha</w:t>
      </w:r>
      <w:r w:rsidRPr="002013FE">
        <w:rPr>
          <w:vertAlign w:val="superscript"/>
        </w:rPr>
        <w:t>-1</w:t>
      </w:r>
      <w:r w:rsidRPr="002013FE">
        <w:t>): Abstand von 35 Reihen - Maisreihenabstand 70 cm. In der Maisreihe selbst wurden bis zu acht Fallen im Abstand von 35 m installiert. Fünf Pflanzen pro Käfig wurden pyramidenförmig mit der Spargelfolie überspannt (Fläche: 1, 2 m</w:t>
      </w:r>
      <w:r w:rsidRPr="002013FE">
        <w:rPr>
          <w:vertAlign w:val="superscript"/>
        </w:rPr>
        <w:t>2</w:t>
      </w:r>
      <w:r w:rsidRPr="002013FE">
        <w:t>). Die Fallen wurden periodisch vier Mal, beginnend mit 27. Juni 2016 und 18. Juli 2017, letzte Fallenvisite: 7.September 2016 bzw. 13. September 2017, ausgewertet. Zusätzlich wurden im Versuchsjahr 2017, auf einer verdichteten Fläche von 1.600 m</w:t>
      </w:r>
      <w:r w:rsidRPr="002013FE">
        <w:rPr>
          <w:vertAlign w:val="superscript"/>
        </w:rPr>
        <w:t>2</w:t>
      </w:r>
      <w:r w:rsidRPr="002013FE">
        <w:t xml:space="preserve"> im Burgenfeld, noch 10 Käfige installiert, um den Einfluss einer möglichen Licht-Attraktion, bedingt durch eine nahegelegene</w:t>
      </w:r>
      <w:r w:rsidR="003007DD">
        <w:t>n</w:t>
      </w:r>
      <w:r w:rsidRPr="002013FE">
        <w:t xml:space="preserve"> Fabrik samt Straßen-Beleuchtung, bewerten zu können (3 Reihen mit je 3 bzw. 4 Schlupfkäfigen: Abstand 13 Maisreihen; Käfigabstand 10 m). Im Versuchsjahr 2018 wurde wegen einer DIACONT Programmänderung auf ein Schlupfkäfigmonitoring verzichtet.</w:t>
      </w:r>
    </w:p>
    <w:p w:rsidR="00C949C4" w:rsidRPr="002013FE" w:rsidRDefault="00C949C4" w:rsidP="00443789">
      <w:pPr>
        <w:pStyle w:val="Flietext"/>
        <w:jc w:val="both"/>
      </w:pPr>
      <w:r w:rsidRPr="002013FE">
        <w:t xml:space="preserve">In Zusammenarbeit mit dem Land Tirol (Gruppe Agrar, DI Andreas Tschöll und DI Thomas Peham) wurden zusätzlich zum </w:t>
      </w:r>
      <w:r w:rsidRPr="001D3CB3">
        <w:t>Schlupfkäfigmonitoring je 3 farblose PAL Pheromon-Klebefallen (CSALOMON</w:t>
      </w:r>
      <w:r w:rsidRPr="001D3CB3">
        <w:rPr>
          <w:vertAlign w:val="superscript"/>
        </w:rPr>
        <w:t>TM</w:t>
      </w:r>
      <w:r w:rsidRPr="001D3CB3">
        <w:t>, 1525 Budapest, Hungary) in den zwei Versuchsflächen bzw. in der Kontrollfläche am Standort Oberndorf und St. Johann in Tirol installiert (n</w:t>
      </w:r>
      <w:r w:rsidRPr="001D3CB3">
        <w:rPr>
          <w:vertAlign w:val="subscript"/>
        </w:rPr>
        <w:t xml:space="preserve">ges </w:t>
      </w:r>
      <w:r w:rsidRPr="001D3CB3">
        <w:t>= 9)</w:t>
      </w:r>
      <w:r w:rsidR="00443789" w:rsidRPr="001D3CB3">
        <w:t xml:space="preserve"> (Tabelle 1)</w:t>
      </w:r>
      <w:r w:rsidRPr="001D3CB3">
        <w:t>. Die Auswertung der Fallen wurde mit 4. Juli 2016, 6. Juli 2017 bzw. 2. Juli 2018 begonnen, erfolgte einmal</w:t>
      </w:r>
      <w:r w:rsidRPr="002013FE">
        <w:t xml:space="preserve"> wöchentlich, und wurde zum letzten Mal am 19. September 2016, 14. September 2017 bzw. 17. September 2018 ausgewertet.</w:t>
      </w:r>
    </w:p>
    <w:p w:rsidR="00C949C4" w:rsidRPr="002013FE" w:rsidRDefault="00C949C4" w:rsidP="00443789">
      <w:pPr>
        <w:pStyle w:val="Flietext"/>
        <w:jc w:val="both"/>
      </w:pPr>
      <w:r w:rsidRPr="002013FE">
        <w:t>Bezüglich der Fängigkeit des PAL Pheromon-Klebefallen-Systems gilt festzustellen: Je niedriger die Population</w:t>
      </w:r>
      <w:r>
        <w:t>s</w:t>
      </w:r>
      <w:r w:rsidRPr="002013FE">
        <w:t>dichte des Schädlings in einer Region zu erwarten ist, desto mehr Fallen müssen zu</w:t>
      </w:r>
      <w:r>
        <w:t>r</w:t>
      </w:r>
      <w:r w:rsidRPr="002013FE">
        <w:t xml:space="preserve"> </w:t>
      </w:r>
      <w:r>
        <w:t>Ermittlung</w:t>
      </w:r>
      <w:r w:rsidRPr="002013FE">
        <w:t xml:space="preserve"> der Population</w:t>
      </w:r>
      <w:r>
        <w:t>s</w:t>
      </w:r>
      <w:r w:rsidRPr="002013FE">
        <w:t xml:space="preserve">dichte verwendet werden. Im EU Projekt QLK5-CT-1999-01110 DIACONT wurden bei den damals sehr niedrigen </w:t>
      </w:r>
      <w:r w:rsidRPr="002013FE">
        <w:rPr>
          <w:i/>
        </w:rPr>
        <w:t>Diabrotica</w:t>
      </w:r>
      <w:r w:rsidRPr="002013FE">
        <w:t xml:space="preserve"> Populationen, 8 bis 10 Pheromonfallen, im Abstand von 30 m bis 40 m voneinander entfernt, am Rande der Maisfelder aufgestellt</w:t>
      </w:r>
      <w:r>
        <w:t>. Der entsprach dem empfohlenen Fallenbedarf</w:t>
      </w:r>
      <w:r w:rsidRPr="002013FE">
        <w:t xml:space="preserve"> zur Überwachung von einem Hektar Maisacker.</w:t>
      </w:r>
    </w:p>
    <w:p w:rsidR="00C949C4" w:rsidRDefault="00C949C4" w:rsidP="00C949C4">
      <w:pPr>
        <w:pStyle w:val="Tabellentitel"/>
      </w:pPr>
      <w:bookmarkStart w:id="28" w:name="_Toc532311566"/>
      <w:bookmarkStart w:id="29" w:name="_Toc7715382"/>
      <w:r>
        <w:t xml:space="preserve">Tabelle </w:t>
      </w:r>
      <w:fldSimple w:instr=" SEQ Tabelle \* ARABIC ">
        <w:r w:rsidR="00443789">
          <w:rPr>
            <w:noProof/>
          </w:rPr>
          <w:t>1</w:t>
        </w:r>
      </w:fldSimple>
      <w:r>
        <w:t>:</w:t>
      </w:r>
      <w:r w:rsidRPr="00E366F0">
        <w:t xml:space="preserve"> </w:t>
      </w:r>
      <w:r w:rsidRPr="002013FE">
        <w:t>Fallenstandorte in Oberndorf und St. Johann in Tirol (Koordinaten, Länge und Breite)</w:t>
      </w:r>
      <w:bookmarkEnd w:id="28"/>
      <w:bookmarkEnd w:id="29"/>
    </w:p>
    <w:tbl>
      <w:tblPr>
        <w:tblW w:w="0" w:type="auto"/>
        <w:jc w:val="right"/>
        <w:tblBorders>
          <w:insideH w:val="single" w:sz="2" w:space="0" w:color="auto"/>
          <w:insideV w:val="single" w:sz="2" w:space="0" w:color="auto"/>
        </w:tblBorders>
        <w:tblLook w:val="06A0" w:firstRow="1" w:lastRow="0" w:firstColumn="1" w:lastColumn="0" w:noHBand="1" w:noVBand="1"/>
      </w:tblPr>
      <w:tblGrid>
        <w:gridCol w:w="3059"/>
        <w:gridCol w:w="3059"/>
        <w:gridCol w:w="3060"/>
      </w:tblGrid>
      <w:tr w:rsidR="00C949C4" w:rsidRPr="002013FE" w:rsidTr="00C949C4">
        <w:trPr>
          <w:trHeight w:val="241"/>
          <w:jc w:val="right"/>
        </w:trPr>
        <w:tc>
          <w:tcPr>
            <w:tcW w:w="3059" w:type="dxa"/>
            <w:shd w:val="clear" w:color="auto" w:fill="auto"/>
            <w:vAlign w:val="center"/>
            <w:hideMark/>
          </w:tcPr>
          <w:p w:rsidR="00C949C4" w:rsidRPr="002013FE" w:rsidRDefault="00C949C4" w:rsidP="00C949C4">
            <w:pPr>
              <w:rPr>
                <w:rFonts w:eastAsia="Times New Roman"/>
                <w:b/>
                <w:color w:val="2869A1"/>
                <w:lang w:val="de-DE" w:eastAsia="de-DE"/>
              </w:rPr>
            </w:pPr>
            <w:r w:rsidRPr="002013FE">
              <w:rPr>
                <w:rFonts w:eastAsia="Times New Roman"/>
                <w:b/>
                <w:color w:val="2869A1"/>
                <w:lang w:val="de-DE" w:eastAsia="de-DE"/>
              </w:rPr>
              <w:t>Fallenstandorte</w:t>
            </w:r>
          </w:p>
        </w:tc>
        <w:tc>
          <w:tcPr>
            <w:tcW w:w="3059" w:type="dxa"/>
            <w:shd w:val="clear" w:color="auto" w:fill="auto"/>
            <w:vAlign w:val="center"/>
            <w:hideMark/>
          </w:tcPr>
          <w:p w:rsidR="00C949C4" w:rsidRPr="002013FE" w:rsidRDefault="00C949C4" w:rsidP="00C949C4">
            <w:pPr>
              <w:jc w:val="right"/>
              <w:rPr>
                <w:rFonts w:eastAsia="Times New Roman"/>
                <w:b/>
                <w:color w:val="2869A1"/>
                <w:lang w:val="de-DE" w:eastAsia="de-DE"/>
              </w:rPr>
            </w:pPr>
            <w:r w:rsidRPr="002013FE">
              <w:rPr>
                <w:rFonts w:eastAsia="Times New Roman"/>
                <w:b/>
                <w:color w:val="2869A1"/>
                <w:lang w:val="de-DE" w:eastAsia="de-DE"/>
              </w:rPr>
              <w:t xml:space="preserve">Länge (l) </w:t>
            </w:r>
          </w:p>
        </w:tc>
        <w:tc>
          <w:tcPr>
            <w:tcW w:w="3060" w:type="dxa"/>
            <w:shd w:val="clear" w:color="auto" w:fill="auto"/>
            <w:vAlign w:val="center"/>
            <w:hideMark/>
          </w:tcPr>
          <w:p w:rsidR="00C949C4" w:rsidRPr="002013FE" w:rsidRDefault="00C949C4" w:rsidP="00C949C4">
            <w:pPr>
              <w:jc w:val="right"/>
              <w:rPr>
                <w:rFonts w:eastAsia="Times New Roman"/>
                <w:b/>
                <w:color w:val="2869A1"/>
                <w:lang w:val="de-DE" w:eastAsia="de-DE"/>
              </w:rPr>
            </w:pPr>
            <w:r w:rsidRPr="002013FE">
              <w:rPr>
                <w:rFonts w:eastAsia="Times New Roman"/>
                <w:b/>
                <w:color w:val="2869A1"/>
                <w:lang w:val="de-DE" w:eastAsia="de-DE"/>
              </w:rPr>
              <w:t>Breite (b)</w:t>
            </w:r>
          </w:p>
        </w:tc>
      </w:tr>
      <w:tr w:rsidR="00C949C4" w:rsidRPr="002013FE" w:rsidTr="00C949C4">
        <w:trPr>
          <w:trHeight w:val="241"/>
          <w:jc w:val="right"/>
        </w:trPr>
        <w:tc>
          <w:tcPr>
            <w:tcW w:w="3059" w:type="dxa"/>
            <w:shd w:val="clear" w:color="auto" w:fill="auto"/>
            <w:vAlign w:val="center"/>
            <w:hideMark/>
          </w:tcPr>
          <w:p w:rsidR="00C949C4" w:rsidRPr="002013FE" w:rsidRDefault="00C949C4" w:rsidP="00C949C4">
            <w:pPr>
              <w:rPr>
                <w:rFonts w:eastAsia="Times New Roman"/>
                <w:b/>
                <w:color w:val="2869A1"/>
                <w:lang w:val="de-DE" w:eastAsia="de-DE"/>
              </w:rPr>
            </w:pPr>
            <w:r w:rsidRPr="002013FE">
              <w:rPr>
                <w:rFonts w:eastAsia="Times New Roman"/>
                <w:b/>
                <w:color w:val="2869A1"/>
                <w:lang w:val="de-DE" w:eastAsia="de-DE"/>
              </w:rPr>
              <w:t xml:space="preserve">Oberndorf (Burgenfeld): </w:t>
            </w:r>
          </w:p>
        </w:tc>
        <w:tc>
          <w:tcPr>
            <w:tcW w:w="3059" w:type="dxa"/>
            <w:shd w:val="clear" w:color="auto" w:fill="auto"/>
            <w:vAlign w:val="center"/>
            <w:hideMark/>
          </w:tcPr>
          <w:p w:rsidR="00C949C4" w:rsidRPr="002013FE" w:rsidRDefault="00C949C4" w:rsidP="00C949C4">
            <w:pPr>
              <w:jc w:val="right"/>
              <w:rPr>
                <w:rFonts w:eastAsia="Times New Roman"/>
                <w:lang w:val="de-DE" w:eastAsia="de-DE"/>
              </w:rPr>
            </w:pPr>
            <w:r w:rsidRPr="002013FE">
              <w:rPr>
                <w:rFonts w:eastAsia="Times New Roman"/>
                <w:lang w:val="de-DE" w:eastAsia="de-DE"/>
              </w:rPr>
              <w:t>12.394457</w:t>
            </w:r>
          </w:p>
        </w:tc>
        <w:tc>
          <w:tcPr>
            <w:tcW w:w="3060" w:type="dxa"/>
            <w:shd w:val="clear" w:color="auto" w:fill="auto"/>
            <w:vAlign w:val="center"/>
            <w:hideMark/>
          </w:tcPr>
          <w:p w:rsidR="00C949C4" w:rsidRPr="002013FE" w:rsidRDefault="00C949C4" w:rsidP="00C949C4">
            <w:pPr>
              <w:jc w:val="right"/>
              <w:rPr>
                <w:rFonts w:eastAsia="Times New Roman"/>
                <w:lang w:val="de-DE" w:eastAsia="de-DE"/>
              </w:rPr>
            </w:pPr>
            <w:r w:rsidRPr="002013FE">
              <w:rPr>
                <w:rFonts w:eastAsia="Times New Roman"/>
                <w:lang w:val="de-DE" w:eastAsia="de-DE"/>
              </w:rPr>
              <w:t>47.508665</w:t>
            </w:r>
          </w:p>
        </w:tc>
      </w:tr>
      <w:tr w:rsidR="00C949C4" w:rsidRPr="002013FE" w:rsidTr="00C949C4">
        <w:trPr>
          <w:trHeight w:val="241"/>
          <w:jc w:val="right"/>
        </w:trPr>
        <w:tc>
          <w:tcPr>
            <w:tcW w:w="3059" w:type="dxa"/>
            <w:shd w:val="clear" w:color="auto" w:fill="auto"/>
            <w:vAlign w:val="center"/>
          </w:tcPr>
          <w:p w:rsidR="00C949C4" w:rsidRPr="002013FE" w:rsidRDefault="00C949C4" w:rsidP="00C949C4">
            <w:pPr>
              <w:rPr>
                <w:rFonts w:eastAsia="Times New Roman"/>
                <w:b/>
                <w:color w:val="2869A1"/>
                <w:lang w:val="de-DE" w:eastAsia="de-DE"/>
              </w:rPr>
            </w:pPr>
            <w:r w:rsidRPr="002013FE">
              <w:rPr>
                <w:rFonts w:eastAsia="Times New Roman"/>
                <w:b/>
                <w:color w:val="2869A1"/>
                <w:lang w:val="de-DE" w:eastAsia="de-DE"/>
              </w:rPr>
              <w:t>Oberndorf (Burgenfeld)</w:t>
            </w:r>
          </w:p>
        </w:tc>
        <w:tc>
          <w:tcPr>
            <w:tcW w:w="3059" w:type="dxa"/>
            <w:shd w:val="clear" w:color="auto" w:fill="auto"/>
            <w:vAlign w:val="center"/>
          </w:tcPr>
          <w:p w:rsidR="00C949C4" w:rsidRPr="002013FE" w:rsidRDefault="00C949C4" w:rsidP="00C949C4">
            <w:pPr>
              <w:jc w:val="right"/>
              <w:rPr>
                <w:rFonts w:eastAsia="Times New Roman"/>
                <w:lang w:val="de-DE" w:eastAsia="de-DE"/>
              </w:rPr>
            </w:pPr>
            <w:r w:rsidRPr="002013FE">
              <w:rPr>
                <w:rFonts w:eastAsia="Times New Roman"/>
                <w:lang w:val="de-DE" w:eastAsia="de-DE"/>
              </w:rPr>
              <w:t>12.395247</w:t>
            </w:r>
          </w:p>
        </w:tc>
        <w:tc>
          <w:tcPr>
            <w:tcW w:w="3060" w:type="dxa"/>
            <w:shd w:val="clear" w:color="auto" w:fill="auto"/>
            <w:vAlign w:val="center"/>
          </w:tcPr>
          <w:p w:rsidR="00C949C4" w:rsidRPr="002013FE" w:rsidRDefault="00C949C4" w:rsidP="00C949C4">
            <w:pPr>
              <w:jc w:val="right"/>
              <w:rPr>
                <w:rFonts w:eastAsia="Times New Roman"/>
                <w:lang w:val="de-DE" w:eastAsia="de-DE"/>
              </w:rPr>
            </w:pPr>
            <w:r w:rsidRPr="002013FE">
              <w:rPr>
                <w:rFonts w:eastAsia="Times New Roman"/>
                <w:lang w:val="de-DE" w:eastAsia="de-DE"/>
              </w:rPr>
              <w:t>47.507103</w:t>
            </w:r>
          </w:p>
        </w:tc>
      </w:tr>
      <w:tr w:rsidR="00C949C4" w:rsidRPr="002013FE" w:rsidTr="00C949C4">
        <w:trPr>
          <w:trHeight w:val="241"/>
          <w:jc w:val="right"/>
        </w:trPr>
        <w:tc>
          <w:tcPr>
            <w:tcW w:w="3059" w:type="dxa"/>
            <w:shd w:val="clear" w:color="auto" w:fill="auto"/>
            <w:vAlign w:val="center"/>
          </w:tcPr>
          <w:p w:rsidR="00C949C4" w:rsidRPr="002013FE" w:rsidRDefault="00C949C4" w:rsidP="00C949C4">
            <w:pPr>
              <w:rPr>
                <w:rFonts w:eastAsia="Times New Roman"/>
                <w:b/>
                <w:color w:val="2869A1"/>
                <w:lang w:val="de-DE" w:eastAsia="de-DE"/>
              </w:rPr>
            </w:pPr>
            <w:r w:rsidRPr="002013FE">
              <w:rPr>
                <w:rFonts w:eastAsia="Times New Roman"/>
                <w:b/>
                <w:color w:val="2869A1"/>
                <w:lang w:val="de-DE" w:eastAsia="de-DE"/>
              </w:rPr>
              <w:t>Oberndorf (Burgenfeld)</w:t>
            </w:r>
          </w:p>
        </w:tc>
        <w:tc>
          <w:tcPr>
            <w:tcW w:w="3059" w:type="dxa"/>
            <w:shd w:val="clear" w:color="auto" w:fill="auto"/>
            <w:vAlign w:val="center"/>
          </w:tcPr>
          <w:p w:rsidR="00C949C4" w:rsidRPr="002013FE" w:rsidRDefault="00C949C4" w:rsidP="00C949C4">
            <w:pPr>
              <w:jc w:val="right"/>
              <w:rPr>
                <w:rFonts w:eastAsia="Times New Roman"/>
                <w:lang w:val="de-DE" w:eastAsia="de-DE"/>
              </w:rPr>
            </w:pPr>
            <w:r w:rsidRPr="002013FE">
              <w:rPr>
                <w:rFonts w:eastAsia="Times New Roman"/>
                <w:lang w:val="de-DE" w:eastAsia="de-DE"/>
              </w:rPr>
              <w:t>12.395827</w:t>
            </w:r>
          </w:p>
        </w:tc>
        <w:tc>
          <w:tcPr>
            <w:tcW w:w="3060" w:type="dxa"/>
            <w:shd w:val="clear" w:color="auto" w:fill="auto"/>
            <w:vAlign w:val="center"/>
          </w:tcPr>
          <w:p w:rsidR="00C949C4" w:rsidRPr="002013FE" w:rsidRDefault="00C949C4" w:rsidP="00C949C4">
            <w:pPr>
              <w:jc w:val="right"/>
              <w:rPr>
                <w:rFonts w:eastAsia="Times New Roman"/>
                <w:lang w:val="de-DE" w:eastAsia="de-DE"/>
              </w:rPr>
            </w:pPr>
            <w:r w:rsidRPr="002013FE">
              <w:rPr>
                <w:rFonts w:eastAsia="Times New Roman"/>
                <w:lang w:val="de-DE" w:eastAsia="de-DE"/>
              </w:rPr>
              <w:t>47.505986</w:t>
            </w:r>
          </w:p>
        </w:tc>
      </w:tr>
      <w:tr w:rsidR="00C949C4" w:rsidRPr="002013FE" w:rsidTr="00C949C4">
        <w:trPr>
          <w:trHeight w:val="241"/>
          <w:jc w:val="right"/>
        </w:trPr>
        <w:tc>
          <w:tcPr>
            <w:tcW w:w="3059" w:type="dxa"/>
            <w:shd w:val="clear" w:color="auto" w:fill="auto"/>
            <w:vAlign w:val="center"/>
          </w:tcPr>
          <w:p w:rsidR="00C949C4" w:rsidRPr="002013FE" w:rsidRDefault="00C949C4" w:rsidP="00C949C4">
            <w:pPr>
              <w:rPr>
                <w:rFonts w:eastAsia="Times New Roman"/>
                <w:b/>
                <w:color w:val="2869A1"/>
                <w:lang w:val="en-US" w:eastAsia="de-DE"/>
              </w:rPr>
            </w:pPr>
            <w:r w:rsidRPr="002013FE">
              <w:rPr>
                <w:rFonts w:eastAsia="Times New Roman"/>
                <w:b/>
                <w:color w:val="2869A1"/>
                <w:lang w:val="en-US" w:eastAsia="de-DE"/>
              </w:rPr>
              <w:t>St. Johann in Tirol (Kramat)</w:t>
            </w:r>
          </w:p>
        </w:tc>
        <w:tc>
          <w:tcPr>
            <w:tcW w:w="3059" w:type="dxa"/>
            <w:shd w:val="clear" w:color="auto" w:fill="auto"/>
            <w:vAlign w:val="center"/>
          </w:tcPr>
          <w:p w:rsidR="00C949C4" w:rsidRPr="002013FE" w:rsidRDefault="00C949C4" w:rsidP="00C949C4">
            <w:pPr>
              <w:jc w:val="right"/>
              <w:rPr>
                <w:rFonts w:eastAsia="Times New Roman"/>
                <w:lang w:val="de-DE" w:eastAsia="de-DE"/>
              </w:rPr>
            </w:pPr>
            <w:r w:rsidRPr="002013FE">
              <w:rPr>
                <w:rFonts w:eastAsia="Times New Roman"/>
                <w:lang w:val="de-DE" w:eastAsia="de-DE"/>
              </w:rPr>
              <w:t>12.394568</w:t>
            </w:r>
          </w:p>
        </w:tc>
        <w:tc>
          <w:tcPr>
            <w:tcW w:w="3060" w:type="dxa"/>
            <w:shd w:val="clear" w:color="auto" w:fill="auto"/>
            <w:vAlign w:val="center"/>
          </w:tcPr>
          <w:p w:rsidR="00C949C4" w:rsidRPr="002013FE" w:rsidRDefault="00C949C4" w:rsidP="00C949C4">
            <w:pPr>
              <w:jc w:val="right"/>
              <w:rPr>
                <w:rFonts w:eastAsia="Times New Roman"/>
                <w:lang w:val="de-DE" w:eastAsia="de-DE"/>
              </w:rPr>
            </w:pPr>
            <w:r w:rsidRPr="002013FE">
              <w:rPr>
                <w:rFonts w:eastAsia="Times New Roman"/>
                <w:lang w:val="de-DE" w:eastAsia="de-DE"/>
              </w:rPr>
              <w:t>47.509930</w:t>
            </w:r>
          </w:p>
        </w:tc>
      </w:tr>
      <w:tr w:rsidR="00C949C4" w:rsidRPr="002013FE" w:rsidTr="00C949C4">
        <w:trPr>
          <w:trHeight w:val="241"/>
          <w:jc w:val="right"/>
        </w:trPr>
        <w:tc>
          <w:tcPr>
            <w:tcW w:w="3059" w:type="dxa"/>
            <w:shd w:val="clear" w:color="auto" w:fill="auto"/>
            <w:vAlign w:val="center"/>
          </w:tcPr>
          <w:p w:rsidR="00C949C4" w:rsidRPr="002013FE" w:rsidRDefault="00C949C4" w:rsidP="00C949C4">
            <w:pPr>
              <w:rPr>
                <w:rFonts w:eastAsia="Times New Roman"/>
                <w:b/>
                <w:color w:val="2869A1"/>
                <w:lang w:val="en-US" w:eastAsia="de-DE"/>
              </w:rPr>
            </w:pPr>
            <w:r w:rsidRPr="002013FE">
              <w:rPr>
                <w:rFonts w:eastAsia="Times New Roman"/>
                <w:b/>
                <w:color w:val="2869A1"/>
                <w:lang w:val="en-US" w:eastAsia="de-DE"/>
              </w:rPr>
              <w:t>St. Johann in Tirol (Kramat)</w:t>
            </w:r>
          </w:p>
        </w:tc>
        <w:tc>
          <w:tcPr>
            <w:tcW w:w="3059" w:type="dxa"/>
            <w:shd w:val="clear" w:color="auto" w:fill="auto"/>
            <w:vAlign w:val="center"/>
          </w:tcPr>
          <w:p w:rsidR="00C949C4" w:rsidRPr="002013FE" w:rsidRDefault="00C949C4" w:rsidP="00C949C4">
            <w:pPr>
              <w:jc w:val="right"/>
              <w:rPr>
                <w:rFonts w:eastAsia="Times New Roman"/>
                <w:lang w:val="de-DE" w:eastAsia="de-DE"/>
              </w:rPr>
            </w:pPr>
            <w:r w:rsidRPr="002013FE">
              <w:rPr>
                <w:rFonts w:eastAsia="Times New Roman"/>
                <w:lang w:val="de-DE" w:eastAsia="de-DE"/>
              </w:rPr>
              <w:t>12.394395</w:t>
            </w:r>
          </w:p>
        </w:tc>
        <w:tc>
          <w:tcPr>
            <w:tcW w:w="3060" w:type="dxa"/>
            <w:shd w:val="clear" w:color="auto" w:fill="auto"/>
            <w:vAlign w:val="center"/>
          </w:tcPr>
          <w:p w:rsidR="00C949C4" w:rsidRPr="002013FE" w:rsidRDefault="00C949C4" w:rsidP="00C949C4">
            <w:pPr>
              <w:jc w:val="right"/>
              <w:rPr>
                <w:rFonts w:eastAsia="Times New Roman"/>
                <w:lang w:val="de-DE" w:eastAsia="de-DE"/>
              </w:rPr>
            </w:pPr>
            <w:r w:rsidRPr="002013FE">
              <w:rPr>
                <w:rFonts w:eastAsia="Times New Roman"/>
                <w:lang w:val="de-DE" w:eastAsia="de-DE"/>
              </w:rPr>
              <w:t>47.511789</w:t>
            </w:r>
          </w:p>
        </w:tc>
      </w:tr>
      <w:tr w:rsidR="00C949C4" w:rsidRPr="002013FE" w:rsidTr="00C949C4">
        <w:trPr>
          <w:trHeight w:val="241"/>
          <w:jc w:val="right"/>
        </w:trPr>
        <w:tc>
          <w:tcPr>
            <w:tcW w:w="3059" w:type="dxa"/>
            <w:shd w:val="clear" w:color="auto" w:fill="auto"/>
            <w:vAlign w:val="center"/>
          </w:tcPr>
          <w:p w:rsidR="00C949C4" w:rsidRPr="002013FE" w:rsidRDefault="00C949C4" w:rsidP="00C949C4">
            <w:pPr>
              <w:rPr>
                <w:rFonts w:eastAsia="Times New Roman"/>
                <w:b/>
                <w:color w:val="2869A1"/>
                <w:lang w:val="en-US" w:eastAsia="de-DE"/>
              </w:rPr>
            </w:pPr>
            <w:r w:rsidRPr="002013FE">
              <w:rPr>
                <w:rFonts w:eastAsia="Times New Roman"/>
                <w:b/>
                <w:color w:val="2869A1"/>
                <w:lang w:val="en-US" w:eastAsia="de-DE"/>
              </w:rPr>
              <w:t>St. Johann in Tirol (Kramat)</w:t>
            </w:r>
          </w:p>
        </w:tc>
        <w:tc>
          <w:tcPr>
            <w:tcW w:w="3059" w:type="dxa"/>
            <w:shd w:val="clear" w:color="auto" w:fill="auto"/>
            <w:vAlign w:val="center"/>
          </w:tcPr>
          <w:p w:rsidR="00C949C4" w:rsidRPr="002013FE" w:rsidRDefault="00C949C4" w:rsidP="00C949C4">
            <w:pPr>
              <w:jc w:val="right"/>
              <w:rPr>
                <w:rFonts w:eastAsia="Times New Roman"/>
                <w:lang w:val="de-DE" w:eastAsia="de-DE"/>
              </w:rPr>
            </w:pPr>
            <w:r w:rsidRPr="002013FE">
              <w:rPr>
                <w:rFonts w:eastAsia="Times New Roman"/>
                <w:lang w:val="de-DE" w:eastAsia="de-DE"/>
              </w:rPr>
              <w:t>12.394217</w:t>
            </w:r>
          </w:p>
        </w:tc>
        <w:tc>
          <w:tcPr>
            <w:tcW w:w="3060" w:type="dxa"/>
            <w:shd w:val="clear" w:color="auto" w:fill="auto"/>
            <w:vAlign w:val="center"/>
          </w:tcPr>
          <w:p w:rsidR="00C949C4" w:rsidRPr="002013FE" w:rsidRDefault="00C949C4" w:rsidP="00C949C4">
            <w:pPr>
              <w:jc w:val="right"/>
              <w:rPr>
                <w:rFonts w:eastAsia="Times New Roman"/>
                <w:lang w:val="de-DE" w:eastAsia="de-DE"/>
              </w:rPr>
            </w:pPr>
            <w:r w:rsidRPr="002013FE">
              <w:rPr>
                <w:rFonts w:eastAsia="Times New Roman"/>
                <w:lang w:val="de-DE" w:eastAsia="de-DE"/>
              </w:rPr>
              <w:t>47.513542</w:t>
            </w:r>
          </w:p>
        </w:tc>
      </w:tr>
      <w:tr w:rsidR="00C949C4" w:rsidRPr="002013FE" w:rsidTr="00C949C4">
        <w:trPr>
          <w:trHeight w:val="241"/>
          <w:jc w:val="right"/>
        </w:trPr>
        <w:tc>
          <w:tcPr>
            <w:tcW w:w="3059" w:type="dxa"/>
            <w:shd w:val="clear" w:color="auto" w:fill="auto"/>
            <w:vAlign w:val="center"/>
          </w:tcPr>
          <w:p w:rsidR="00C949C4" w:rsidRPr="002013FE" w:rsidRDefault="00C949C4" w:rsidP="00C949C4">
            <w:pPr>
              <w:rPr>
                <w:rFonts w:eastAsia="Times New Roman"/>
                <w:b/>
                <w:color w:val="2869A1"/>
                <w:lang w:val="en-US" w:eastAsia="de-DE"/>
              </w:rPr>
            </w:pPr>
            <w:r w:rsidRPr="002013FE">
              <w:rPr>
                <w:rFonts w:eastAsia="Times New Roman"/>
                <w:b/>
                <w:color w:val="2869A1"/>
                <w:lang w:val="en-US" w:eastAsia="de-DE"/>
              </w:rPr>
              <w:t>St. Johann in Tirol (Kontrolle)</w:t>
            </w:r>
          </w:p>
        </w:tc>
        <w:tc>
          <w:tcPr>
            <w:tcW w:w="3059" w:type="dxa"/>
            <w:shd w:val="clear" w:color="auto" w:fill="auto"/>
            <w:vAlign w:val="center"/>
          </w:tcPr>
          <w:p w:rsidR="00C949C4" w:rsidRPr="002013FE" w:rsidRDefault="00C949C4" w:rsidP="00C949C4">
            <w:pPr>
              <w:jc w:val="right"/>
              <w:rPr>
                <w:rFonts w:eastAsia="Times New Roman"/>
                <w:lang w:val="de-DE" w:eastAsia="de-DE"/>
              </w:rPr>
            </w:pPr>
            <w:r w:rsidRPr="002013FE">
              <w:rPr>
                <w:rFonts w:eastAsia="Times New Roman"/>
                <w:lang w:val="de-DE" w:eastAsia="de-DE"/>
              </w:rPr>
              <w:t>12.396786</w:t>
            </w:r>
          </w:p>
        </w:tc>
        <w:tc>
          <w:tcPr>
            <w:tcW w:w="3060" w:type="dxa"/>
            <w:shd w:val="clear" w:color="auto" w:fill="auto"/>
            <w:vAlign w:val="center"/>
          </w:tcPr>
          <w:p w:rsidR="00C949C4" w:rsidRPr="002013FE" w:rsidRDefault="00C949C4" w:rsidP="00C949C4">
            <w:pPr>
              <w:jc w:val="right"/>
              <w:rPr>
                <w:rFonts w:eastAsia="Times New Roman"/>
                <w:lang w:val="de-DE" w:eastAsia="de-DE"/>
              </w:rPr>
            </w:pPr>
            <w:r w:rsidRPr="002013FE">
              <w:rPr>
                <w:rFonts w:eastAsia="Times New Roman"/>
                <w:lang w:val="de-DE" w:eastAsia="de-DE"/>
              </w:rPr>
              <w:t>47.520018</w:t>
            </w:r>
          </w:p>
        </w:tc>
      </w:tr>
      <w:tr w:rsidR="00C949C4" w:rsidRPr="002013FE" w:rsidTr="00C949C4">
        <w:trPr>
          <w:trHeight w:val="241"/>
          <w:jc w:val="right"/>
        </w:trPr>
        <w:tc>
          <w:tcPr>
            <w:tcW w:w="3059" w:type="dxa"/>
            <w:shd w:val="clear" w:color="auto" w:fill="auto"/>
            <w:vAlign w:val="center"/>
          </w:tcPr>
          <w:p w:rsidR="00C949C4" w:rsidRPr="002013FE" w:rsidRDefault="00C949C4" w:rsidP="00C949C4">
            <w:pPr>
              <w:rPr>
                <w:rFonts w:eastAsia="Times New Roman"/>
                <w:b/>
                <w:color w:val="2869A1"/>
                <w:lang w:val="en-US" w:eastAsia="de-DE"/>
              </w:rPr>
            </w:pPr>
            <w:r w:rsidRPr="002013FE">
              <w:rPr>
                <w:rFonts w:eastAsia="Times New Roman"/>
                <w:b/>
                <w:color w:val="2869A1"/>
                <w:lang w:val="en-US" w:eastAsia="de-DE"/>
              </w:rPr>
              <w:t>St. Johann in Tirol (Kontrolle)</w:t>
            </w:r>
          </w:p>
        </w:tc>
        <w:tc>
          <w:tcPr>
            <w:tcW w:w="3059" w:type="dxa"/>
            <w:shd w:val="clear" w:color="auto" w:fill="auto"/>
            <w:vAlign w:val="center"/>
          </w:tcPr>
          <w:p w:rsidR="00C949C4" w:rsidRPr="002013FE" w:rsidRDefault="00C949C4" w:rsidP="00C949C4">
            <w:pPr>
              <w:jc w:val="right"/>
              <w:rPr>
                <w:rFonts w:eastAsia="Times New Roman"/>
                <w:lang w:val="de-DE" w:eastAsia="de-DE"/>
              </w:rPr>
            </w:pPr>
            <w:r w:rsidRPr="002013FE">
              <w:rPr>
                <w:rFonts w:eastAsia="Times New Roman"/>
                <w:lang w:val="de-DE" w:eastAsia="de-DE"/>
              </w:rPr>
              <w:t>12.399029</w:t>
            </w:r>
          </w:p>
        </w:tc>
        <w:tc>
          <w:tcPr>
            <w:tcW w:w="3060" w:type="dxa"/>
            <w:shd w:val="clear" w:color="auto" w:fill="auto"/>
            <w:vAlign w:val="center"/>
          </w:tcPr>
          <w:p w:rsidR="00C949C4" w:rsidRPr="002013FE" w:rsidRDefault="00C949C4" w:rsidP="00C949C4">
            <w:pPr>
              <w:jc w:val="right"/>
              <w:rPr>
                <w:rFonts w:eastAsia="Times New Roman"/>
                <w:lang w:val="de-DE" w:eastAsia="de-DE"/>
              </w:rPr>
            </w:pPr>
            <w:r w:rsidRPr="002013FE">
              <w:rPr>
                <w:rFonts w:eastAsia="Times New Roman"/>
                <w:lang w:val="de-DE" w:eastAsia="de-DE"/>
              </w:rPr>
              <w:t>47.518758</w:t>
            </w:r>
          </w:p>
        </w:tc>
      </w:tr>
      <w:tr w:rsidR="00C949C4" w:rsidRPr="002013FE" w:rsidTr="00C949C4">
        <w:trPr>
          <w:trHeight w:val="241"/>
          <w:jc w:val="right"/>
        </w:trPr>
        <w:tc>
          <w:tcPr>
            <w:tcW w:w="3059" w:type="dxa"/>
            <w:shd w:val="clear" w:color="auto" w:fill="auto"/>
            <w:vAlign w:val="center"/>
          </w:tcPr>
          <w:p w:rsidR="00C949C4" w:rsidRPr="002013FE" w:rsidRDefault="00C949C4" w:rsidP="00C949C4">
            <w:pPr>
              <w:rPr>
                <w:rFonts w:eastAsia="Times New Roman"/>
                <w:b/>
                <w:color w:val="2869A1"/>
                <w:lang w:val="en-US" w:eastAsia="de-DE"/>
              </w:rPr>
            </w:pPr>
            <w:r w:rsidRPr="002013FE">
              <w:rPr>
                <w:rFonts w:eastAsia="Times New Roman"/>
                <w:b/>
                <w:color w:val="2869A1"/>
                <w:lang w:val="en-US" w:eastAsia="de-DE"/>
              </w:rPr>
              <w:t>St. Johann in Tirol (Kontrolle)</w:t>
            </w:r>
          </w:p>
        </w:tc>
        <w:tc>
          <w:tcPr>
            <w:tcW w:w="3059" w:type="dxa"/>
            <w:shd w:val="clear" w:color="auto" w:fill="auto"/>
            <w:vAlign w:val="center"/>
          </w:tcPr>
          <w:p w:rsidR="00C949C4" w:rsidRPr="002013FE" w:rsidRDefault="00C949C4" w:rsidP="00C949C4">
            <w:pPr>
              <w:jc w:val="right"/>
              <w:rPr>
                <w:rFonts w:eastAsia="Times New Roman"/>
                <w:lang w:val="de-DE" w:eastAsia="de-DE"/>
              </w:rPr>
            </w:pPr>
            <w:r w:rsidRPr="002013FE">
              <w:rPr>
                <w:rFonts w:eastAsia="Times New Roman"/>
                <w:lang w:val="de-DE" w:eastAsia="de-DE"/>
              </w:rPr>
              <w:t>12.401268</w:t>
            </w:r>
          </w:p>
        </w:tc>
        <w:tc>
          <w:tcPr>
            <w:tcW w:w="3060" w:type="dxa"/>
            <w:shd w:val="clear" w:color="auto" w:fill="auto"/>
            <w:vAlign w:val="center"/>
          </w:tcPr>
          <w:p w:rsidR="00C949C4" w:rsidRPr="002013FE" w:rsidRDefault="00C949C4" w:rsidP="00C949C4">
            <w:pPr>
              <w:jc w:val="right"/>
              <w:rPr>
                <w:rFonts w:eastAsia="Times New Roman"/>
                <w:lang w:val="de-DE" w:eastAsia="de-DE"/>
              </w:rPr>
            </w:pPr>
            <w:r w:rsidRPr="002013FE">
              <w:rPr>
                <w:rFonts w:eastAsia="Times New Roman"/>
                <w:lang w:val="de-DE" w:eastAsia="de-DE"/>
              </w:rPr>
              <w:t>47.518063</w:t>
            </w:r>
          </w:p>
        </w:tc>
      </w:tr>
    </w:tbl>
    <w:p w:rsidR="00C949C4" w:rsidRPr="002013FE" w:rsidRDefault="00C949C4" w:rsidP="00C949C4">
      <w:pPr>
        <w:pStyle w:val="1Unterkapitel"/>
      </w:pPr>
      <w:bookmarkStart w:id="30" w:name="_Toc532311609"/>
      <w:bookmarkStart w:id="31" w:name="_Toc7715559"/>
      <w:r w:rsidRPr="002013FE">
        <w:t>Pflanzenbonitur</w:t>
      </w:r>
      <w:bookmarkEnd w:id="30"/>
      <w:bookmarkEnd w:id="31"/>
    </w:p>
    <w:p w:rsidR="00C949C4" w:rsidRPr="002013FE" w:rsidRDefault="00C949C4" w:rsidP="00A36A2B">
      <w:pPr>
        <w:pStyle w:val="Flietext"/>
        <w:jc w:val="both"/>
      </w:pPr>
      <w:r w:rsidRPr="001D3CB3">
        <w:t>Die Maisbonitur wurde in der Steiermark am 26. August 2016, am 30. August 2017 und am 3. September 2018, sowie in Tirol am 7. September 2016, 13. September 2017 und am 12. September 2018 durchgeführt</w:t>
      </w:r>
      <w:r w:rsidR="00A36A2B" w:rsidRPr="001D3CB3">
        <w:t xml:space="preserve"> (Tabelle 2)</w:t>
      </w:r>
      <w:r w:rsidRPr="001D3CB3">
        <w:t>. Das Maisentwicklungsstadium zum Bonitur-Zeitpunkt entsprach 2016, 2017 und 2018 nach BBCH-Codierung</w:t>
      </w:r>
      <w:r w:rsidRPr="002013FE">
        <w:t xml:space="preserve"> dem Stadium BBCH 87 (späte Teigreife, in Tirol) bis 89-91 (Vollreife, Steiermark). Die Bonitur wurde gemäß Foltin et al. (2014) nach vier Bewertungskriterien (d. h Neigungsgrade der Maispflanze) durchgeführt.</w:t>
      </w:r>
    </w:p>
    <w:p w:rsidR="00C949C4" w:rsidRDefault="00C949C4" w:rsidP="00C949C4">
      <w:pPr>
        <w:pStyle w:val="Tabellentitel"/>
      </w:pPr>
      <w:bookmarkStart w:id="32" w:name="_Toc532311567"/>
      <w:bookmarkStart w:id="33" w:name="_Toc7715383"/>
      <w:r>
        <w:t xml:space="preserve">Tabelle </w:t>
      </w:r>
      <w:fldSimple w:instr=" SEQ Tabelle \* ARABIC ">
        <w:r w:rsidR="00A36A2B">
          <w:rPr>
            <w:noProof/>
          </w:rPr>
          <w:t>2</w:t>
        </w:r>
      </w:fldSimple>
      <w:r>
        <w:t>:</w:t>
      </w:r>
      <w:r w:rsidRPr="00E366F0">
        <w:t xml:space="preserve"> </w:t>
      </w:r>
      <w:r w:rsidRPr="002013FE">
        <w:t>Bewertung der Gänsehalssymptome nach Neigunsintesität/Klassen (Foltin et al., 2014)</w:t>
      </w:r>
      <w:bookmarkEnd w:id="32"/>
      <w:bookmarkEnd w:id="33"/>
    </w:p>
    <w:tbl>
      <w:tblPr>
        <w:tblW w:w="0" w:type="auto"/>
        <w:jc w:val="right"/>
        <w:tblBorders>
          <w:insideH w:val="single" w:sz="2" w:space="0" w:color="auto"/>
          <w:insideV w:val="single" w:sz="2" w:space="0" w:color="auto"/>
        </w:tblBorders>
        <w:tblLook w:val="06A0" w:firstRow="1" w:lastRow="0" w:firstColumn="1" w:lastColumn="0" w:noHBand="1" w:noVBand="1"/>
      </w:tblPr>
      <w:tblGrid>
        <w:gridCol w:w="3117"/>
        <w:gridCol w:w="6060"/>
      </w:tblGrid>
      <w:tr w:rsidR="00C949C4" w:rsidRPr="002013FE" w:rsidTr="00C949C4">
        <w:trPr>
          <w:trHeight w:val="241"/>
          <w:jc w:val="right"/>
        </w:trPr>
        <w:tc>
          <w:tcPr>
            <w:tcW w:w="3117" w:type="dxa"/>
            <w:shd w:val="clear" w:color="auto" w:fill="auto"/>
            <w:vAlign w:val="center"/>
            <w:hideMark/>
          </w:tcPr>
          <w:p w:rsidR="00C949C4" w:rsidRPr="002013FE" w:rsidRDefault="00C949C4" w:rsidP="00C949C4">
            <w:pPr>
              <w:rPr>
                <w:rFonts w:eastAsia="Times New Roman"/>
                <w:b/>
                <w:color w:val="2869A1"/>
                <w:lang w:val="de-DE" w:eastAsia="de-DE"/>
              </w:rPr>
            </w:pPr>
            <w:r w:rsidRPr="002013FE">
              <w:rPr>
                <w:rFonts w:eastAsia="Times New Roman"/>
                <w:b/>
                <w:color w:val="2869A1"/>
                <w:lang w:val="de-DE" w:eastAsia="de-DE"/>
              </w:rPr>
              <w:t>Neigungsgrade</w:t>
            </w:r>
          </w:p>
        </w:tc>
        <w:tc>
          <w:tcPr>
            <w:tcW w:w="6060" w:type="dxa"/>
            <w:shd w:val="clear" w:color="auto" w:fill="auto"/>
            <w:vAlign w:val="center"/>
            <w:hideMark/>
          </w:tcPr>
          <w:p w:rsidR="00C949C4" w:rsidRPr="002013FE" w:rsidRDefault="00C949C4" w:rsidP="00C949C4">
            <w:pPr>
              <w:jc w:val="right"/>
              <w:rPr>
                <w:rFonts w:eastAsia="Times New Roman"/>
                <w:b/>
                <w:color w:val="2869A1"/>
                <w:lang w:val="de-DE" w:eastAsia="de-DE"/>
              </w:rPr>
            </w:pPr>
            <w:r w:rsidRPr="002013FE">
              <w:rPr>
                <w:rFonts w:eastAsia="Times New Roman"/>
                <w:b/>
                <w:color w:val="2869A1"/>
                <w:lang w:val="de-DE" w:eastAsia="de-DE"/>
              </w:rPr>
              <w:t xml:space="preserve">Ansprache </w:t>
            </w:r>
          </w:p>
        </w:tc>
      </w:tr>
      <w:tr w:rsidR="00C949C4" w:rsidRPr="002013FE" w:rsidTr="00C949C4">
        <w:trPr>
          <w:trHeight w:val="241"/>
          <w:jc w:val="right"/>
        </w:trPr>
        <w:tc>
          <w:tcPr>
            <w:tcW w:w="3117" w:type="dxa"/>
            <w:shd w:val="clear" w:color="auto" w:fill="auto"/>
            <w:vAlign w:val="center"/>
            <w:hideMark/>
          </w:tcPr>
          <w:p w:rsidR="00C949C4" w:rsidRPr="002013FE" w:rsidRDefault="00C949C4" w:rsidP="00C949C4">
            <w:pPr>
              <w:rPr>
                <w:rFonts w:eastAsia="Times New Roman"/>
                <w:b/>
                <w:color w:val="2869A1"/>
                <w:lang w:val="de-DE" w:eastAsia="de-DE"/>
              </w:rPr>
            </w:pPr>
            <w:r w:rsidRPr="002013FE">
              <w:rPr>
                <w:rFonts w:eastAsia="Times New Roman"/>
                <w:b/>
                <w:color w:val="2869A1"/>
                <w:lang w:val="de-DE" w:eastAsia="de-DE"/>
              </w:rPr>
              <w:t xml:space="preserve">Klassse 1 </w:t>
            </w:r>
          </w:p>
        </w:tc>
        <w:tc>
          <w:tcPr>
            <w:tcW w:w="6060" w:type="dxa"/>
            <w:shd w:val="clear" w:color="auto" w:fill="auto"/>
            <w:vAlign w:val="center"/>
            <w:hideMark/>
          </w:tcPr>
          <w:p w:rsidR="00C949C4" w:rsidRPr="002013FE" w:rsidRDefault="00C949C4" w:rsidP="00C949C4">
            <w:pPr>
              <w:jc w:val="right"/>
              <w:rPr>
                <w:rFonts w:eastAsia="Times New Roman"/>
                <w:lang w:val="de-DE" w:eastAsia="de-DE"/>
              </w:rPr>
            </w:pPr>
            <w:r w:rsidRPr="002013FE">
              <w:rPr>
                <w:rFonts w:eastAsia="Times New Roman"/>
                <w:lang w:val="de-DE" w:eastAsia="de-DE"/>
              </w:rPr>
              <w:t>komplett aufrecht</w:t>
            </w:r>
          </w:p>
        </w:tc>
      </w:tr>
      <w:tr w:rsidR="00C949C4" w:rsidRPr="002013FE" w:rsidTr="00C949C4">
        <w:trPr>
          <w:trHeight w:val="241"/>
          <w:jc w:val="right"/>
        </w:trPr>
        <w:tc>
          <w:tcPr>
            <w:tcW w:w="3117" w:type="dxa"/>
            <w:shd w:val="clear" w:color="auto" w:fill="auto"/>
            <w:vAlign w:val="center"/>
          </w:tcPr>
          <w:p w:rsidR="00C949C4" w:rsidRPr="002013FE" w:rsidRDefault="00C949C4" w:rsidP="00C949C4">
            <w:pPr>
              <w:rPr>
                <w:rFonts w:eastAsia="Times New Roman"/>
                <w:b/>
                <w:color w:val="2869A1"/>
                <w:lang w:val="de-DE" w:eastAsia="de-DE"/>
              </w:rPr>
            </w:pPr>
            <w:r w:rsidRPr="002013FE">
              <w:rPr>
                <w:rFonts w:eastAsia="Times New Roman"/>
                <w:b/>
                <w:color w:val="2869A1"/>
                <w:lang w:val="de-DE" w:eastAsia="de-DE"/>
              </w:rPr>
              <w:t>Klassse 2</w:t>
            </w:r>
          </w:p>
        </w:tc>
        <w:tc>
          <w:tcPr>
            <w:tcW w:w="6060" w:type="dxa"/>
            <w:shd w:val="clear" w:color="auto" w:fill="auto"/>
            <w:vAlign w:val="center"/>
          </w:tcPr>
          <w:p w:rsidR="00C949C4" w:rsidRPr="002013FE" w:rsidRDefault="00C949C4" w:rsidP="00C949C4">
            <w:pPr>
              <w:jc w:val="right"/>
              <w:rPr>
                <w:rFonts w:eastAsia="Times New Roman"/>
                <w:lang w:val="de-DE" w:eastAsia="de-DE"/>
              </w:rPr>
            </w:pPr>
            <w:r w:rsidRPr="002013FE">
              <w:rPr>
                <w:rFonts w:eastAsia="Times New Roman"/>
                <w:lang w:val="de-DE" w:eastAsia="de-DE"/>
              </w:rPr>
              <w:t>leichte Neigung bis 30 ° von vertikal mit Gänsehals</w:t>
            </w:r>
          </w:p>
        </w:tc>
      </w:tr>
      <w:tr w:rsidR="00C949C4" w:rsidRPr="002013FE" w:rsidTr="00C949C4">
        <w:trPr>
          <w:trHeight w:val="241"/>
          <w:jc w:val="right"/>
        </w:trPr>
        <w:tc>
          <w:tcPr>
            <w:tcW w:w="3117" w:type="dxa"/>
            <w:shd w:val="clear" w:color="auto" w:fill="auto"/>
            <w:vAlign w:val="center"/>
          </w:tcPr>
          <w:p w:rsidR="00C949C4" w:rsidRPr="002013FE" w:rsidRDefault="00C949C4" w:rsidP="00C949C4">
            <w:pPr>
              <w:rPr>
                <w:rFonts w:eastAsia="Times New Roman"/>
                <w:b/>
                <w:color w:val="2869A1"/>
                <w:lang w:val="de-DE" w:eastAsia="de-DE"/>
              </w:rPr>
            </w:pPr>
            <w:r w:rsidRPr="002013FE">
              <w:rPr>
                <w:rFonts w:eastAsia="Times New Roman"/>
                <w:b/>
                <w:color w:val="2869A1"/>
                <w:lang w:val="de-DE" w:eastAsia="de-DE"/>
              </w:rPr>
              <w:t>Klassse 3</w:t>
            </w:r>
          </w:p>
        </w:tc>
        <w:tc>
          <w:tcPr>
            <w:tcW w:w="6060" w:type="dxa"/>
            <w:shd w:val="clear" w:color="auto" w:fill="auto"/>
            <w:vAlign w:val="center"/>
          </w:tcPr>
          <w:p w:rsidR="00C949C4" w:rsidRPr="002013FE" w:rsidRDefault="00C949C4" w:rsidP="00C949C4">
            <w:pPr>
              <w:jc w:val="right"/>
              <w:rPr>
                <w:rFonts w:eastAsia="Times New Roman"/>
                <w:lang w:val="de-DE" w:eastAsia="de-DE"/>
              </w:rPr>
            </w:pPr>
            <w:r w:rsidRPr="002013FE">
              <w:rPr>
                <w:rFonts w:eastAsia="Times New Roman"/>
                <w:lang w:val="de-DE" w:eastAsia="de-DE"/>
              </w:rPr>
              <w:t>starke Neigung über 30 ° von vertikal mit Gänsehals</w:t>
            </w:r>
          </w:p>
        </w:tc>
      </w:tr>
      <w:tr w:rsidR="00C949C4" w:rsidRPr="002013FE" w:rsidTr="00C949C4">
        <w:trPr>
          <w:trHeight w:val="241"/>
          <w:jc w:val="right"/>
        </w:trPr>
        <w:tc>
          <w:tcPr>
            <w:tcW w:w="3117" w:type="dxa"/>
            <w:shd w:val="clear" w:color="auto" w:fill="auto"/>
            <w:vAlign w:val="center"/>
          </w:tcPr>
          <w:p w:rsidR="00C949C4" w:rsidRPr="002013FE" w:rsidRDefault="00C949C4" w:rsidP="00C949C4">
            <w:pPr>
              <w:rPr>
                <w:rFonts w:eastAsia="Times New Roman"/>
                <w:b/>
                <w:color w:val="2869A1"/>
                <w:lang w:val="de-DE" w:eastAsia="de-DE"/>
              </w:rPr>
            </w:pPr>
            <w:r w:rsidRPr="002013FE">
              <w:rPr>
                <w:rFonts w:eastAsia="Times New Roman"/>
                <w:b/>
                <w:color w:val="2869A1"/>
                <w:lang w:val="de-DE" w:eastAsia="de-DE"/>
              </w:rPr>
              <w:t>Klassse 4</w:t>
            </w:r>
          </w:p>
        </w:tc>
        <w:tc>
          <w:tcPr>
            <w:tcW w:w="6060" w:type="dxa"/>
            <w:shd w:val="clear" w:color="auto" w:fill="auto"/>
            <w:vAlign w:val="center"/>
          </w:tcPr>
          <w:p w:rsidR="00C949C4" w:rsidRPr="002013FE" w:rsidRDefault="00C949C4" w:rsidP="00C949C4">
            <w:pPr>
              <w:jc w:val="right"/>
              <w:rPr>
                <w:rFonts w:eastAsia="Times New Roman"/>
                <w:lang w:val="de-DE" w:eastAsia="de-DE"/>
              </w:rPr>
            </w:pPr>
            <w:r w:rsidRPr="002013FE">
              <w:rPr>
                <w:rFonts w:eastAsia="Times New Roman"/>
                <w:lang w:val="de-DE" w:eastAsia="de-DE"/>
              </w:rPr>
              <w:t xml:space="preserve">Pflanze lagert - </w:t>
            </w:r>
            <w:r>
              <w:rPr>
                <w:rFonts w:eastAsia="Times New Roman"/>
                <w:lang w:val="de-DE" w:eastAsia="de-DE"/>
              </w:rPr>
              <w:t>Erntehindernis</w:t>
            </w:r>
          </w:p>
        </w:tc>
      </w:tr>
    </w:tbl>
    <w:p w:rsidR="00C949C4" w:rsidRPr="002013FE" w:rsidRDefault="00C949C4" w:rsidP="00A36A2B">
      <w:pPr>
        <w:spacing w:before="270" w:line="276" w:lineRule="auto"/>
        <w:jc w:val="both"/>
        <w:rPr>
          <w:rFonts w:eastAsia="Times New Roman"/>
          <w:color w:val="000000"/>
        </w:rPr>
      </w:pPr>
      <w:r w:rsidRPr="002013FE">
        <w:rPr>
          <w:rFonts w:eastAsia="Times New Roman"/>
          <w:color w:val="000000"/>
        </w:rPr>
        <w:t xml:space="preserve">Mit einem Abstand von je 15 Maisreihen (2016) und 10 Reihen (2017, 2018) wurde jede Maispflanze in der Reihe </w:t>
      </w:r>
      <w:r w:rsidRPr="001D3CB3">
        <w:rPr>
          <w:rFonts w:eastAsia="Times New Roman"/>
          <w:color w:val="000000"/>
        </w:rPr>
        <w:t xml:space="preserve">bonitiert und eine Häufigkeitsverteilung bezüglich der vier Kategorien errechnet. Alle Ergebnisse wurden auf Normalverteilung (einfaktorelle ANOVA) und bivariate Korrelationen nach Pearson geprüft (p &lt; 0,05; SPSS Statistics 24.0). Weiters wurde der Wirkungsgrad nach Abbott in Prozent bewertet (Anhang, Tabelle </w:t>
      </w:r>
      <w:r w:rsidR="000E7FDF" w:rsidRPr="001D3CB3">
        <w:rPr>
          <w:rFonts w:eastAsia="Times New Roman"/>
          <w:color w:val="000000"/>
        </w:rPr>
        <w:t>10</w:t>
      </w:r>
      <w:r w:rsidRPr="001D3CB3">
        <w:rPr>
          <w:rFonts w:eastAsia="Times New Roman"/>
          <w:color w:val="000000"/>
        </w:rPr>
        <w:t>).</w:t>
      </w:r>
    </w:p>
    <w:p w:rsidR="00C949C4" w:rsidRPr="002013FE" w:rsidRDefault="00C949C4" w:rsidP="00C949C4">
      <w:pPr>
        <w:pStyle w:val="1Unterkapitel"/>
      </w:pPr>
      <w:bookmarkStart w:id="34" w:name="_Toc532311610"/>
      <w:bookmarkStart w:id="35" w:name="_Toc7715560"/>
      <w:r w:rsidRPr="002013FE">
        <w:t xml:space="preserve">Quantifizierung der </w:t>
      </w:r>
      <w:r w:rsidRPr="002013FE">
        <w:rPr>
          <w:i/>
        </w:rPr>
        <w:t>Metarhizium</w:t>
      </w:r>
      <w:r w:rsidRPr="002013FE">
        <w:t xml:space="preserve"> Abundanz im Boden</w:t>
      </w:r>
      <w:bookmarkEnd w:id="34"/>
      <w:bookmarkEnd w:id="35"/>
    </w:p>
    <w:p w:rsidR="00C949C4" w:rsidRPr="002013FE" w:rsidRDefault="00C949C4" w:rsidP="00A36A2B">
      <w:pPr>
        <w:pStyle w:val="Flietext"/>
        <w:jc w:val="both"/>
      </w:pPr>
      <w:r w:rsidRPr="002013FE">
        <w:t xml:space="preserve">Unter Berücksichtigung der Applikation des insektentötenden Pilzes </w:t>
      </w:r>
      <w:r w:rsidRPr="002013FE">
        <w:rPr>
          <w:i/>
        </w:rPr>
        <w:t xml:space="preserve">M. brunneum </w:t>
      </w:r>
      <w:r w:rsidRPr="002013FE">
        <w:t>(GranMet</w:t>
      </w:r>
      <w:r w:rsidRPr="002013FE">
        <w:rPr>
          <w:vertAlign w:val="superscript"/>
        </w:rPr>
        <w:t>TM</w:t>
      </w:r>
      <w:r w:rsidRPr="002013FE">
        <w:t xml:space="preserve"> Pilzgerste, Produktionsstamm BIPESCO 5), welcher gezielt im Ackerboden angereichert wurde, wurde die Abundanz des Produktionsstammes und der indigenen </w:t>
      </w:r>
      <w:r w:rsidRPr="002013FE">
        <w:rPr>
          <w:i/>
        </w:rPr>
        <w:t xml:space="preserve">Metarhizium </w:t>
      </w:r>
      <w:r w:rsidRPr="002013FE">
        <w:t>Arten untersucht. Es wurden drei Bodenproben pro Jahr und Standort (April, Juli und September) aus einer Bodentiefe von 5 cm bis 15 cm mit Hilfe eines Rillenbohrers (ø 2 cm) gezogen. Die Einzelproben (n ≥ 40 Einstiche ha</w:t>
      </w:r>
      <w:r w:rsidRPr="002013FE">
        <w:rPr>
          <w:vertAlign w:val="superscript"/>
        </w:rPr>
        <w:t>-1</w:t>
      </w:r>
      <w:r w:rsidRPr="002013FE">
        <w:t>) wurden als Mischprobe in einem sterilen Zip-Lock-Sack verpackt und gekühlt ins Labor zur Probenaufarbeitung transportiert. Die Probenaufarbeitung erfolgte gemäß Standardprotokoll Laengle et al. (2005), wobei die Bodensuspensionen (n=4) auf S4G Nährmedium (Merck), versetzt mit Cycloheximde (70 mg L</w:t>
      </w:r>
      <w:r w:rsidRPr="002013FE">
        <w:rPr>
          <w:vertAlign w:val="superscript"/>
        </w:rPr>
        <w:t>-1</w:t>
      </w:r>
      <w:r w:rsidRPr="002013FE">
        <w:t>), Streptomycin (100 mg mg L</w:t>
      </w:r>
      <w:r w:rsidRPr="002013FE">
        <w:rPr>
          <w:vertAlign w:val="superscript"/>
        </w:rPr>
        <w:t>-1</w:t>
      </w:r>
      <w:r w:rsidRPr="002013FE">
        <w:t>), Tetracycline (50 mg mg L</w:t>
      </w:r>
      <w:r w:rsidRPr="002013FE">
        <w:rPr>
          <w:vertAlign w:val="superscript"/>
        </w:rPr>
        <w:t>-1</w:t>
      </w:r>
      <w:r w:rsidRPr="002013FE">
        <w:t>) und Dodine (100 mg mg L</w:t>
      </w:r>
      <w:r w:rsidRPr="002013FE">
        <w:rPr>
          <w:vertAlign w:val="superscript"/>
        </w:rPr>
        <w:t>-1</w:t>
      </w:r>
      <w:r w:rsidRPr="002013FE">
        <w:t xml:space="preserve">) ausplattiert (n=4) und nach vierzehn Tagen ausgewertet wurden. Die Identifikation der einzelnen </w:t>
      </w:r>
      <w:r w:rsidRPr="002013FE">
        <w:rPr>
          <w:i/>
        </w:rPr>
        <w:t>Metarhizium</w:t>
      </w:r>
      <w:r w:rsidRPr="002013FE">
        <w:t xml:space="preserve"> spp. Kolonien erfolgte aufgrund ihrer </w:t>
      </w:r>
      <w:r>
        <w:t>a</w:t>
      </w:r>
      <w:r w:rsidRPr="002013FE">
        <w:t xml:space="preserve">rtspezifischen </w:t>
      </w:r>
      <w:r w:rsidRPr="002013FE">
        <w:rPr>
          <w:i/>
        </w:rPr>
        <w:t xml:space="preserve">Metarhizium </w:t>
      </w:r>
      <w:r w:rsidRPr="002013FE">
        <w:t>Morphologie (Bischoff et al., 2009).</w:t>
      </w:r>
    </w:p>
    <w:p w:rsidR="00C949C4" w:rsidRPr="002013FE" w:rsidRDefault="00C949C4" w:rsidP="00A36A2B">
      <w:pPr>
        <w:pStyle w:val="Flietext"/>
        <w:jc w:val="both"/>
      </w:pPr>
      <w:r w:rsidRPr="002013FE">
        <w:t xml:space="preserve">Die Auswertungen für die </w:t>
      </w:r>
      <w:r w:rsidRPr="002013FE">
        <w:rPr>
          <w:i/>
        </w:rPr>
        <w:t>Metarhizium</w:t>
      </w:r>
      <w:r w:rsidRPr="002013FE">
        <w:t>-Abundanz im Boden wurde</w:t>
      </w:r>
      <w:r>
        <w:t>n</w:t>
      </w:r>
      <w:r w:rsidRPr="002013FE">
        <w:t xml:space="preserve"> mit dem Statistik-Programm IBM SPSS Statistics 24.0 (SPSS Inc., Chicago, Illinois, USA) und OriginPro 2017 (OriginLab Coporation Massachusetts, USA) durchgeführt. Als statistische Kennwerte wurden der Mittelwert samt Standardabweichung errechnet und dargestellt. Mit Hilfe der Kanonischen Korrespondenzanalyse (CCA; Canoco 5, Plant Research International, Wageningen, NL) wurde der Einfluss der Behandlungen auf die Abundanz von </w:t>
      </w:r>
      <w:r w:rsidRPr="002013FE">
        <w:rPr>
          <w:i/>
        </w:rPr>
        <w:t xml:space="preserve">Metarhizum </w:t>
      </w:r>
      <w:r w:rsidRPr="002013FE">
        <w:t>im Maisacker überprüft. Dieses Programm wurde konzipiert, um anhand von Abundanz - Erhebungen graduelle Zusammenhänge zwischen den behandelten und unbehandelten Versuchsstandorten aufzuzeigen. Dabei werden auch Mehrfachanwendungen der GranMet</w:t>
      </w:r>
      <w:r w:rsidRPr="002013FE">
        <w:rPr>
          <w:vertAlign w:val="superscript"/>
        </w:rPr>
        <w:t xml:space="preserve">TM </w:t>
      </w:r>
      <w:r w:rsidRPr="002013FE">
        <w:t xml:space="preserve">Behandlungen bezüglich der </w:t>
      </w:r>
      <w:r w:rsidRPr="002013FE">
        <w:rPr>
          <w:i/>
        </w:rPr>
        <w:t>Metarhizium</w:t>
      </w:r>
      <w:r w:rsidRPr="002013FE">
        <w:t xml:space="preserve"> Abundanz berechnet und daraus die Ordinationsachsen aufgespannt.</w:t>
      </w:r>
    </w:p>
    <w:p w:rsidR="00C949C4" w:rsidRPr="002013FE" w:rsidRDefault="00C949C4" w:rsidP="00C949C4">
      <w:pPr>
        <w:pStyle w:val="1Unterkapitel"/>
      </w:pPr>
      <w:bookmarkStart w:id="36" w:name="_Toc532311611"/>
      <w:bookmarkStart w:id="37" w:name="_Toc7715561"/>
      <w:r w:rsidRPr="002013FE">
        <w:t xml:space="preserve">Genotypisierung der </w:t>
      </w:r>
      <w:r w:rsidRPr="002013FE">
        <w:rPr>
          <w:i/>
        </w:rPr>
        <w:t>Metarhizium</w:t>
      </w:r>
      <w:r w:rsidRPr="002013FE">
        <w:t xml:space="preserve"> Rückisolate</w:t>
      </w:r>
      <w:bookmarkEnd w:id="36"/>
      <w:bookmarkEnd w:id="37"/>
    </w:p>
    <w:p w:rsidR="00C949C4" w:rsidRPr="002013FE" w:rsidRDefault="00C949C4" w:rsidP="00C41750">
      <w:pPr>
        <w:pStyle w:val="Flietext"/>
        <w:jc w:val="both"/>
      </w:pPr>
      <w:r w:rsidRPr="002013FE">
        <w:t xml:space="preserve">Die Identität des applizierten Produktionsstammes </w:t>
      </w:r>
      <w:r w:rsidRPr="002013FE">
        <w:rPr>
          <w:i/>
        </w:rPr>
        <w:t>Metarhizium brunneum</w:t>
      </w:r>
      <w:r w:rsidRPr="002013FE">
        <w:t xml:space="preserve"> (BIPESCO 5) wurde mit Hilfe der SSR-PCR Technik analysiert (Mayerhofer et. al 2015) Die </w:t>
      </w:r>
      <w:r w:rsidRPr="002013FE">
        <w:rPr>
          <w:i/>
        </w:rPr>
        <w:t xml:space="preserve">Metarhizium </w:t>
      </w:r>
      <w:r w:rsidRPr="002013FE">
        <w:t>Isolate wurde</w:t>
      </w:r>
      <w:r w:rsidR="003007DD">
        <w:t>n</w:t>
      </w:r>
      <w:r w:rsidRPr="002013FE">
        <w:t xml:space="preserve"> als Zufallsstichprobe von den </w:t>
      </w:r>
      <w:r w:rsidRPr="002013FE">
        <w:rPr>
          <w:i/>
        </w:rPr>
        <w:t>Metarhizium</w:t>
      </w:r>
      <w:r w:rsidRPr="002013FE">
        <w:t xml:space="preserve"> Abundanz-Selektiv-Nährböden isoliert. Es wurden je 24 Isolate pro Versuchsstandort und Probennahme</w:t>
      </w:r>
      <w:r>
        <w:t>z</w:t>
      </w:r>
      <w:r w:rsidRPr="002013FE">
        <w:t>eitpunkt</w:t>
      </w:r>
      <w:r>
        <w:t xml:space="preserve"> (</w:t>
      </w:r>
      <w:r w:rsidRPr="002013FE">
        <w:t>September 2016, April, Juni und September 2017</w:t>
      </w:r>
      <w:r>
        <w:t>)</w:t>
      </w:r>
      <w:r w:rsidRPr="002013FE">
        <w:t xml:space="preserve"> untersucht (n=480). Zusätzlich wurden die verwendeten GranMet</w:t>
      </w:r>
      <w:r w:rsidRPr="002013FE">
        <w:rPr>
          <w:vertAlign w:val="superscript"/>
        </w:rPr>
        <w:t>TM</w:t>
      </w:r>
      <w:r w:rsidRPr="002013FE">
        <w:t>-Produktionschargen gemäß BIPESCO Standard-Protokoll auf Stammidentität, Reinheit und Virulenz überprüft. Die Rückisolate aus dem Versuchsjahr 2018 (Pro</w:t>
      </w:r>
      <w:r w:rsidR="00C41750">
        <w:t>bennahme April und September) wu</w:t>
      </w:r>
      <w:r w:rsidRPr="002013FE">
        <w:t>rden im Dezember 2018, im Rahmen einer M</w:t>
      </w:r>
      <w:r w:rsidR="00C41750">
        <w:t>asterarbeit ausgewertet. Auch wu</w:t>
      </w:r>
      <w:r w:rsidRPr="002013FE">
        <w:t xml:space="preserve">rden jene verpilzten </w:t>
      </w:r>
      <w:r w:rsidRPr="002013FE">
        <w:rPr>
          <w:i/>
        </w:rPr>
        <w:t>Tenebrio</w:t>
      </w:r>
      <w:r w:rsidRPr="002013FE">
        <w:t xml:space="preserve"> Larven, welche vom Partner 2 (Biohelp) zur Verfügung gestellt wurden, auf BIPESCO 5 Stamm-Identität im Dezember 2018 geprüft.</w:t>
      </w:r>
    </w:p>
    <w:p w:rsidR="009E0391" w:rsidRPr="0099786D" w:rsidRDefault="009E0391" w:rsidP="009E0391">
      <w:pPr>
        <w:pStyle w:val="1Unterkapitel"/>
      </w:pPr>
      <w:bookmarkStart w:id="38" w:name="_Toc532311631"/>
      <w:bookmarkStart w:id="39" w:name="_Toc7715562"/>
      <w:r w:rsidRPr="0099786D">
        <w:t>Dauerbeobachtungsflächen in der Steiermark und Tirol</w:t>
      </w:r>
      <w:bookmarkEnd w:id="38"/>
      <w:bookmarkEnd w:id="39"/>
    </w:p>
    <w:p w:rsidR="009E0391" w:rsidRPr="0099786D" w:rsidRDefault="009E0391" w:rsidP="00C41750">
      <w:pPr>
        <w:pStyle w:val="Flietext"/>
        <w:jc w:val="both"/>
      </w:pPr>
      <w:r w:rsidRPr="0099786D">
        <w:t>Eine inokulative Massenapplikation von GranMet</w:t>
      </w:r>
      <w:r w:rsidRPr="0099786D">
        <w:rPr>
          <w:vertAlign w:val="superscript"/>
        </w:rPr>
        <w:t>TM</w:t>
      </w:r>
      <w:r w:rsidRPr="0099786D">
        <w:t xml:space="preserve"> wurde einmal pro Jahr, vor der Maisaussaat, über einen Zeitraum von sechs Jahren durchgeführt, um eine gewünschten </w:t>
      </w:r>
      <w:r w:rsidRPr="0099786D">
        <w:rPr>
          <w:i/>
        </w:rPr>
        <w:t xml:space="preserve">Metarhizium </w:t>
      </w:r>
      <w:r w:rsidRPr="0099786D">
        <w:t>Pilzdichte von über 5.000 Koloniebildenden Einheitswerten (KBE g</w:t>
      </w:r>
      <w:r w:rsidRPr="0099786D">
        <w:rPr>
          <w:vertAlign w:val="superscript"/>
        </w:rPr>
        <w:t>-1</w:t>
      </w:r>
      <w:r w:rsidRPr="0099786D">
        <w:t xml:space="preserve"> Boden TG) zu gewährleisten. Diese Pilzdichte erscheint notwendig, um das Infektionspotential über eine gesamte Pflanzensaison sicher zu stellen.</w:t>
      </w:r>
    </w:p>
    <w:p w:rsidR="009E0391" w:rsidRPr="0099786D" w:rsidRDefault="009E0391" w:rsidP="009E0391">
      <w:pPr>
        <w:pStyle w:val="11Unterkapitel"/>
      </w:pPr>
      <w:bookmarkStart w:id="40" w:name="_Toc532311632"/>
      <w:bookmarkStart w:id="41" w:name="_Toc7715563"/>
      <w:r w:rsidRPr="0099786D">
        <w:t>Pilzabundanz, Käfermonitoring und Bonitur in Dietzen und Laafeld (Steiermark)</w:t>
      </w:r>
      <w:bookmarkEnd w:id="40"/>
      <w:bookmarkEnd w:id="41"/>
    </w:p>
    <w:p w:rsidR="009E0391" w:rsidRPr="0099786D" w:rsidRDefault="009E0391" w:rsidP="009E0391">
      <w:pPr>
        <w:pStyle w:val="12Unterkapitel"/>
      </w:pPr>
      <w:bookmarkStart w:id="42" w:name="_Toc532311633"/>
      <w:bookmarkStart w:id="43" w:name="_Toc7715564"/>
      <w:r w:rsidRPr="0099786D">
        <w:t>Pilzabundanz</w:t>
      </w:r>
      <w:bookmarkEnd w:id="42"/>
      <w:bookmarkEnd w:id="43"/>
    </w:p>
    <w:p w:rsidR="009E0391" w:rsidRPr="006571DA" w:rsidRDefault="009E0391" w:rsidP="006571DA">
      <w:pPr>
        <w:pStyle w:val="Flietext"/>
        <w:jc w:val="both"/>
      </w:pPr>
      <w:r w:rsidRPr="006571DA">
        <w:t>Durch die inokulative Massenapplikation des Pilzes Metarhizium brunneum (BIPESCO 5) in den Maisanbauflächen in der Steiermark konnte eine Anreicherung des Pilzes im Boden, über den von uns festgelegten Schwellenwert von 5.000 KBE g-1 Boden TG schon nach der zweiten GranMetTM-Applikation erreicht werden (</w:t>
      </w:r>
      <w:r w:rsidR="00C41750" w:rsidRPr="006571DA">
        <w:t>Abbildung 4</w:t>
      </w:r>
      <w:r w:rsidRPr="006571DA">
        <w:t>). GranMetTM wurde im Oktober 2012 erstmals an beiden Standorten appliziert und seither einmal pro Jahr im Frühjahr vor der Maisaussaat appliziert. Einzige Ausnahme war der Versuchsstandort Laafeld, wo 2014 die Wirkstoffapplikation erst im Herbst stattgefunden hatte. Die gewünschte Metarhizium Pilzdichte von über 5.000 KBE g-1 Boden TG wurde somit im zweiten Jahr erreicht. Seit diesem Zeitpunkt konnte stets eine Pilzabundanz von mindestens ≥ 1500 KBE g-1 Boden TG und mehr in den behandelten Maisackerflächen sichergestellt werden (Rauch et al., 2017).</w:t>
      </w:r>
    </w:p>
    <w:p w:rsidR="009E0391" w:rsidRPr="0099786D" w:rsidRDefault="009E0391" w:rsidP="009E0391">
      <w:pPr>
        <w:spacing w:before="120" w:line="360" w:lineRule="auto"/>
        <w:jc w:val="both"/>
        <w:rPr>
          <w:rFonts w:ascii="Arial" w:eastAsia="Times New Roman" w:hAnsi="Arial" w:cs="Arial"/>
          <w:b/>
          <w:bCs/>
          <w:sz w:val="24"/>
          <w:szCs w:val="24"/>
          <w:lang w:val="de-DE" w:eastAsia="de-DE"/>
        </w:rPr>
      </w:pPr>
      <w:r w:rsidRPr="0099786D">
        <w:rPr>
          <w:rFonts w:ascii="Arial" w:eastAsia="Times New Roman" w:hAnsi="Arial" w:cs="Arial"/>
          <w:b/>
          <w:bCs/>
          <w:noProof/>
          <w:sz w:val="24"/>
          <w:szCs w:val="24"/>
          <w:lang w:eastAsia="de-AT"/>
        </w:rPr>
        <w:drawing>
          <wp:inline distT="0" distB="0" distL="0" distR="0" wp14:anchorId="1E5C3548" wp14:editId="5274BF4E">
            <wp:extent cx="5934075" cy="4143375"/>
            <wp:effectExtent l="0" t="0" r="9525" b="9525"/>
            <wp:docPr id="9254" name="Grafik 9254" descr="Laafeld_Dietzen_2012-2018-15-1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aafeld_Dietzen_2012-2018-15-11-2018"/>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5934075" cy="4143375"/>
                    </a:xfrm>
                    <a:prstGeom prst="rect">
                      <a:avLst/>
                    </a:prstGeom>
                    <a:noFill/>
                    <a:ln>
                      <a:noFill/>
                    </a:ln>
                  </pic:spPr>
                </pic:pic>
              </a:graphicData>
            </a:graphic>
          </wp:inline>
        </w:drawing>
      </w:r>
    </w:p>
    <w:p w:rsidR="009E0391" w:rsidRPr="0099786D" w:rsidRDefault="009E0391" w:rsidP="0048165C">
      <w:pPr>
        <w:pStyle w:val="Beschriftung"/>
        <w:jc w:val="both"/>
      </w:pPr>
      <w:bookmarkStart w:id="44" w:name="_Toc532311584"/>
      <w:bookmarkStart w:id="45" w:name="_Toc7715395"/>
      <w:r>
        <w:t xml:space="preserve">Abbildung </w:t>
      </w:r>
      <w:fldSimple w:instr=" SEQ Abbildung \* ARABIC ">
        <w:r w:rsidR="00C41750">
          <w:rPr>
            <w:noProof/>
          </w:rPr>
          <w:t>4</w:t>
        </w:r>
      </w:fldSimple>
      <w:r>
        <w:t>:</w:t>
      </w:r>
      <w:r w:rsidRPr="0099786D">
        <w:t xml:space="preserve"> Zunahme der Pilzdichte im behandelten Maisacker (Versuchsstandorte Dietzen u. Laafeld, Steiermark). Der Schwellenwert von 200 Koloniebildenden Einheitswerten (KBE; indigene Dichte) bezogen auf ein Gramm Boden Trockengewicht wurde als punktierte Linie dargestellt; die empfohlene Metarhizium Dichte zur Sicherstellung der Wirksamkeit als gestrichelte Linie.</w:t>
      </w:r>
      <w:bookmarkEnd w:id="44"/>
      <w:bookmarkEnd w:id="45"/>
    </w:p>
    <w:p w:rsidR="009E0391" w:rsidRDefault="009E0391" w:rsidP="00C41750">
      <w:pPr>
        <w:spacing w:before="270" w:line="276" w:lineRule="auto"/>
        <w:jc w:val="both"/>
        <w:rPr>
          <w:rFonts w:eastAsia="Times New Roman"/>
          <w:color w:val="000000"/>
        </w:rPr>
      </w:pPr>
      <w:r w:rsidRPr="0099786D">
        <w:rPr>
          <w:rFonts w:eastAsia="Times New Roman"/>
          <w:color w:val="000000"/>
        </w:rPr>
        <w:t xml:space="preserve">Die </w:t>
      </w:r>
      <w:r w:rsidRPr="0099786D">
        <w:rPr>
          <w:rFonts w:eastAsia="Times New Roman"/>
          <w:i/>
          <w:color w:val="000000"/>
        </w:rPr>
        <w:t>Metarhizium</w:t>
      </w:r>
      <w:r w:rsidRPr="0099786D">
        <w:rPr>
          <w:rFonts w:eastAsia="Times New Roman"/>
          <w:color w:val="000000"/>
        </w:rPr>
        <w:t>-Dichte schwankte</w:t>
      </w:r>
      <w:r>
        <w:rPr>
          <w:rFonts w:eastAsia="Times New Roman"/>
          <w:color w:val="000000"/>
        </w:rPr>
        <w:t xml:space="preserve"> in A</w:t>
      </w:r>
      <w:r w:rsidRPr="0099786D">
        <w:rPr>
          <w:rFonts w:eastAsia="Times New Roman"/>
          <w:color w:val="000000"/>
        </w:rPr>
        <w:t>bhängig</w:t>
      </w:r>
      <w:r>
        <w:rPr>
          <w:rFonts w:eastAsia="Times New Roman"/>
          <w:color w:val="000000"/>
        </w:rPr>
        <w:t xml:space="preserve">keit </w:t>
      </w:r>
      <w:r w:rsidRPr="0099786D">
        <w:rPr>
          <w:rFonts w:eastAsia="Times New Roman"/>
          <w:color w:val="000000"/>
        </w:rPr>
        <w:t xml:space="preserve">von der Jahreszeit, aber auch sicherlich bedingt durch den aktuellen </w:t>
      </w:r>
      <w:r w:rsidRPr="0099786D">
        <w:rPr>
          <w:rFonts w:eastAsia="Times New Roman"/>
          <w:i/>
          <w:color w:val="000000"/>
        </w:rPr>
        <w:t>Diabrotica</w:t>
      </w:r>
      <w:r w:rsidRPr="0099786D">
        <w:rPr>
          <w:rFonts w:eastAsia="Times New Roman"/>
          <w:color w:val="000000"/>
        </w:rPr>
        <w:t xml:space="preserve">-Befall im Versuchsfeld, innerhalb einer Zehnerpotenz. Es konnten die höchsten Pilzdichtewerte meist im Frühsommer zum Zeitpunkt des Käferfluges nachgewiesen werden. Der Maximal-Wert von 80.549 KBE </w:t>
      </w:r>
      <w:r w:rsidRPr="0099786D">
        <w:rPr>
          <w:rFonts w:eastAsia="Times New Roman"/>
          <w:i/>
          <w:color w:val="000000"/>
        </w:rPr>
        <w:t>Metarhizium</w:t>
      </w:r>
      <w:r w:rsidRPr="0099786D">
        <w:rPr>
          <w:rFonts w:eastAsia="Times New Roman"/>
          <w:color w:val="000000"/>
        </w:rPr>
        <w:t xml:space="preserve"> g</w:t>
      </w:r>
      <w:r w:rsidRPr="0099786D">
        <w:rPr>
          <w:rFonts w:eastAsia="Times New Roman"/>
          <w:color w:val="000000"/>
          <w:vertAlign w:val="superscript"/>
        </w:rPr>
        <w:t>-1</w:t>
      </w:r>
      <w:r w:rsidRPr="0099786D">
        <w:rPr>
          <w:rFonts w:eastAsia="Times New Roman"/>
          <w:color w:val="000000"/>
        </w:rPr>
        <w:t xml:space="preserve"> TG Boden konnte im Versuchsfeld Dietzen im Juni 2017 bestimmt werden. In Laafeld wurde die </w:t>
      </w:r>
      <w:r w:rsidRPr="001D3CB3">
        <w:rPr>
          <w:rFonts w:eastAsia="Times New Roman"/>
          <w:color w:val="000000"/>
        </w:rPr>
        <w:t xml:space="preserve">höchste </w:t>
      </w:r>
      <w:r w:rsidRPr="001D3CB3">
        <w:rPr>
          <w:rFonts w:eastAsia="Times New Roman"/>
          <w:i/>
          <w:color w:val="000000"/>
        </w:rPr>
        <w:t>Metarhizium</w:t>
      </w:r>
      <w:r w:rsidRPr="001D3CB3">
        <w:rPr>
          <w:rFonts w:eastAsia="Times New Roman"/>
          <w:color w:val="000000"/>
        </w:rPr>
        <w:t>-Dichte im August 2017 kurz vor der Kürbisernte beobachtet (79.703 KBE g</w:t>
      </w:r>
      <w:r w:rsidRPr="001D3CB3">
        <w:rPr>
          <w:rFonts w:eastAsia="Times New Roman"/>
          <w:color w:val="000000"/>
          <w:vertAlign w:val="superscript"/>
        </w:rPr>
        <w:t>-1</w:t>
      </w:r>
      <w:r w:rsidRPr="001D3CB3">
        <w:rPr>
          <w:rFonts w:eastAsia="Times New Roman"/>
          <w:color w:val="000000"/>
        </w:rPr>
        <w:t xml:space="preserve"> Boden TG; Abbildung </w:t>
      </w:r>
      <w:r w:rsidR="00C41750" w:rsidRPr="001D3CB3">
        <w:rPr>
          <w:rFonts w:eastAsia="Times New Roman"/>
          <w:color w:val="000000"/>
        </w:rPr>
        <w:t>5</w:t>
      </w:r>
      <w:r w:rsidRPr="001D3CB3">
        <w:rPr>
          <w:rFonts w:eastAsia="Times New Roman"/>
          <w:color w:val="000000"/>
        </w:rPr>
        <w:t>).</w:t>
      </w:r>
    </w:p>
    <w:p w:rsidR="009E0391" w:rsidRPr="0099786D" w:rsidRDefault="009E0391" w:rsidP="009E0391">
      <w:pPr>
        <w:spacing w:before="270" w:line="276" w:lineRule="auto"/>
        <w:rPr>
          <w:rFonts w:eastAsia="Times New Roman"/>
          <w:color w:val="000000"/>
        </w:rPr>
      </w:pPr>
      <w:r w:rsidRPr="0099786D">
        <w:rPr>
          <w:noProof/>
          <w:lang w:eastAsia="de-AT"/>
        </w:rPr>
        <w:drawing>
          <wp:inline distT="0" distB="0" distL="0" distR="0" wp14:anchorId="63DBFD5C" wp14:editId="09938D17">
            <wp:extent cx="5828030" cy="4256426"/>
            <wp:effectExtent l="0" t="0" r="1270" b="0"/>
            <wp:docPr id="9255" name="Grafik 9255" descr="Steiermark_12_18_Spline_Abunda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teiermark_12_18_Spline_Abundanz"/>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828030" cy="4256426"/>
                    </a:xfrm>
                    <a:prstGeom prst="rect">
                      <a:avLst/>
                    </a:prstGeom>
                    <a:noFill/>
                    <a:ln>
                      <a:noFill/>
                    </a:ln>
                  </pic:spPr>
                </pic:pic>
              </a:graphicData>
            </a:graphic>
          </wp:inline>
        </w:drawing>
      </w:r>
    </w:p>
    <w:p w:rsidR="009E0391" w:rsidRPr="0099786D" w:rsidRDefault="009E0391" w:rsidP="0048165C">
      <w:pPr>
        <w:pStyle w:val="Beschriftung"/>
        <w:jc w:val="both"/>
      </w:pPr>
      <w:bookmarkStart w:id="46" w:name="_Toc532311585"/>
      <w:bookmarkStart w:id="47" w:name="_Toc7715396"/>
      <w:r>
        <w:t xml:space="preserve">Abbildung </w:t>
      </w:r>
      <w:fldSimple w:instr=" SEQ Abbildung \* ARABIC ">
        <w:r w:rsidR="00C41750">
          <w:rPr>
            <w:noProof/>
          </w:rPr>
          <w:t>5</w:t>
        </w:r>
      </w:fldSimple>
      <w:r>
        <w:t>:</w:t>
      </w:r>
      <w:r w:rsidRPr="0099786D">
        <w:t xml:space="preserve"> Periodische Metarhizium Abundanz-Sch</w:t>
      </w:r>
      <w:r>
        <w:t>w</w:t>
      </w:r>
      <w:r w:rsidRPr="0099786D">
        <w:t>ankungen über einen Zeitraum von sechs Jahren am Versuchsstandort Dietzen und Laafeld, (Steiermark). Die grau unterlegte Fläche symbolisiert die zu erwartende, indigene Metarhizium-Pilzdichte in Ackerflächen, postuliert von Scheepmaker &amp; Butt (2010). Der empfohlene Metarhizium Abundanzwert von 5.000 Koloniebildenden Einheitswerten pro Gramm Boden Trockengewicht, zur Sicherstellung der Wirksamkeit, wurde als punktierte Linie gekennzeichnet.</w:t>
      </w:r>
      <w:bookmarkEnd w:id="46"/>
      <w:bookmarkEnd w:id="47"/>
    </w:p>
    <w:p w:rsidR="009E0391" w:rsidRPr="0099786D" w:rsidRDefault="009E0391" w:rsidP="0048165C">
      <w:pPr>
        <w:spacing w:before="270" w:line="276" w:lineRule="auto"/>
        <w:jc w:val="both"/>
        <w:rPr>
          <w:rFonts w:eastAsia="Times New Roman"/>
          <w:color w:val="000000"/>
        </w:rPr>
      </w:pPr>
      <w:r w:rsidRPr="0099786D">
        <w:rPr>
          <w:rFonts w:eastAsia="Times New Roman"/>
          <w:color w:val="000000"/>
        </w:rPr>
        <w:t xml:space="preserve">Am Beispiel des Versuchsstandortes Laafeld </w:t>
      </w:r>
      <w:r w:rsidRPr="001D3CB3">
        <w:rPr>
          <w:rFonts w:eastAsia="Times New Roman"/>
          <w:color w:val="000000"/>
        </w:rPr>
        <w:t xml:space="preserve">konnte gezeigt werden, dass sich, bedingt durch den nachgewiesenen „schwachen“ </w:t>
      </w:r>
      <w:r w:rsidRPr="001D3CB3">
        <w:rPr>
          <w:rFonts w:eastAsia="Times New Roman"/>
          <w:i/>
          <w:color w:val="000000"/>
        </w:rPr>
        <w:t>Diabrotica</w:t>
      </w:r>
      <w:r w:rsidRPr="001D3CB3">
        <w:rPr>
          <w:rFonts w:eastAsia="Times New Roman"/>
          <w:color w:val="000000"/>
        </w:rPr>
        <w:t>-Befall (&gt; 20 Käfer m</w:t>
      </w:r>
      <w:r w:rsidRPr="001D3CB3">
        <w:rPr>
          <w:rFonts w:eastAsia="Times New Roman"/>
          <w:color w:val="000000"/>
          <w:vertAlign w:val="superscript"/>
        </w:rPr>
        <w:t>-2</w:t>
      </w:r>
      <w:r w:rsidRPr="001D3CB3">
        <w:rPr>
          <w:rFonts w:eastAsia="Times New Roman"/>
          <w:color w:val="000000"/>
        </w:rPr>
        <w:t xml:space="preserve">, 2017), die </w:t>
      </w:r>
      <w:r w:rsidRPr="001D3CB3">
        <w:rPr>
          <w:rFonts w:eastAsia="Times New Roman"/>
          <w:i/>
          <w:color w:val="000000"/>
        </w:rPr>
        <w:t>Metarhizium</w:t>
      </w:r>
      <w:r w:rsidRPr="001D3CB3">
        <w:rPr>
          <w:rFonts w:eastAsia="Times New Roman"/>
          <w:color w:val="000000"/>
        </w:rPr>
        <w:t xml:space="preserve"> Dichte im Acker unterhalb des gewünschten Sollwertes von 5.000 KBE g</w:t>
      </w:r>
      <w:r w:rsidRPr="001D3CB3">
        <w:rPr>
          <w:rFonts w:eastAsia="Times New Roman"/>
          <w:color w:val="000000"/>
          <w:vertAlign w:val="superscript"/>
        </w:rPr>
        <w:t>-1</w:t>
      </w:r>
      <w:r w:rsidRPr="001D3CB3">
        <w:rPr>
          <w:rFonts w:eastAsia="Times New Roman"/>
          <w:color w:val="000000"/>
        </w:rPr>
        <w:t xml:space="preserve"> TG Boden befand (Abbildung </w:t>
      </w:r>
      <w:r w:rsidR="00C41750" w:rsidRPr="001D3CB3">
        <w:rPr>
          <w:rFonts w:eastAsia="Times New Roman"/>
          <w:color w:val="000000"/>
        </w:rPr>
        <w:t>6</w:t>
      </w:r>
      <w:r w:rsidRPr="001D3CB3">
        <w:rPr>
          <w:rFonts w:eastAsia="Times New Roman"/>
          <w:color w:val="000000"/>
        </w:rPr>
        <w:t>). Trotz des Fruchtwechsels in der Pflanzsaison 2017 konnte jedoch sowohl durch die erneute GranMet</w:t>
      </w:r>
      <w:r w:rsidRPr="001D3CB3">
        <w:rPr>
          <w:rFonts w:eastAsia="Times New Roman"/>
          <w:color w:val="000000"/>
          <w:vertAlign w:val="superscript"/>
        </w:rPr>
        <w:t>TM</w:t>
      </w:r>
      <w:r w:rsidRPr="001D3CB3">
        <w:rPr>
          <w:rFonts w:eastAsia="Times New Roman"/>
          <w:color w:val="000000"/>
        </w:rPr>
        <w:t xml:space="preserve"> Applikation im Frühjahr 2017 als auch 2018, die </w:t>
      </w:r>
      <w:r w:rsidRPr="001D3CB3">
        <w:rPr>
          <w:rFonts w:eastAsia="Times New Roman"/>
          <w:i/>
          <w:color w:val="000000"/>
        </w:rPr>
        <w:t>Metarhizum</w:t>
      </w:r>
      <w:r w:rsidRPr="001D3CB3">
        <w:rPr>
          <w:rFonts w:eastAsia="Times New Roman"/>
          <w:color w:val="000000"/>
        </w:rPr>
        <w:t>-Dichte wieder weit über 20.000 KBE g</w:t>
      </w:r>
      <w:r w:rsidRPr="001D3CB3">
        <w:rPr>
          <w:rFonts w:eastAsia="Times New Roman"/>
          <w:color w:val="000000"/>
          <w:vertAlign w:val="superscript"/>
        </w:rPr>
        <w:t>-1</w:t>
      </w:r>
      <w:r w:rsidRPr="001D3CB3">
        <w:rPr>
          <w:rFonts w:eastAsia="Times New Roman"/>
          <w:color w:val="000000"/>
        </w:rPr>
        <w:t xml:space="preserve"> TG Boden angehoben werden. Dadurch war auch wiederum ein ausreichender Präventionsschutz sichergestellt (Abbildung </w:t>
      </w:r>
      <w:r w:rsidR="00C41750" w:rsidRPr="001D3CB3">
        <w:rPr>
          <w:rFonts w:eastAsia="Times New Roman"/>
          <w:color w:val="000000"/>
        </w:rPr>
        <w:t>4</w:t>
      </w:r>
      <w:r w:rsidRPr="001D3CB3">
        <w:rPr>
          <w:rFonts w:eastAsia="Times New Roman"/>
          <w:color w:val="000000"/>
        </w:rPr>
        <w:t xml:space="preserve">). In den Kontrollflächen hingegen konnte nur eine geringe (natürliche) </w:t>
      </w:r>
      <w:r w:rsidRPr="001D3CB3">
        <w:rPr>
          <w:rFonts w:eastAsia="Times New Roman"/>
          <w:i/>
          <w:color w:val="000000"/>
        </w:rPr>
        <w:t xml:space="preserve">Metarhizum </w:t>
      </w:r>
      <w:r w:rsidRPr="001D3CB3">
        <w:rPr>
          <w:rFonts w:eastAsia="Times New Roman"/>
          <w:color w:val="000000"/>
        </w:rPr>
        <w:t xml:space="preserve">Abundanz nachgewiesen werden (Abbildung </w:t>
      </w:r>
      <w:r w:rsidR="0048165C" w:rsidRPr="001D3CB3">
        <w:rPr>
          <w:rFonts w:eastAsia="Times New Roman"/>
          <w:color w:val="000000"/>
        </w:rPr>
        <w:t>7</w:t>
      </w:r>
      <w:r w:rsidRPr="001D3CB3">
        <w:rPr>
          <w:rFonts w:eastAsia="Times New Roman"/>
          <w:color w:val="000000"/>
        </w:rPr>
        <w:t xml:space="preserve">). Die hohe </w:t>
      </w:r>
      <w:r w:rsidRPr="001D3CB3">
        <w:rPr>
          <w:rFonts w:eastAsia="Times New Roman"/>
          <w:i/>
          <w:color w:val="000000"/>
        </w:rPr>
        <w:t>Metarhizium-</w:t>
      </w:r>
      <w:r w:rsidRPr="001D3CB3">
        <w:rPr>
          <w:rFonts w:eastAsia="Times New Roman"/>
          <w:color w:val="000000"/>
        </w:rPr>
        <w:t>Dichte im September 2017 kann damit erklärt werden, dass unabhängig von der angebauten Vorfrucht Kürbis, die</w:t>
      </w:r>
      <w:r w:rsidRPr="0099786D">
        <w:rPr>
          <w:rFonts w:eastAsia="Times New Roman"/>
          <w:color w:val="000000"/>
        </w:rPr>
        <w:t xml:space="preserve"> </w:t>
      </w:r>
      <w:r w:rsidRPr="0099786D">
        <w:rPr>
          <w:rFonts w:eastAsia="Times New Roman"/>
          <w:i/>
          <w:color w:val="000000"/>
        </w:rPr>
        <w:t>Diabrotica</w:t>
      </w:r>
      <w:r w:rsidRPr="0099786D">
        <w:rPr>
          <w:rFonts w:eastAsia="Times New Roman"/>
          <w:color w:val="000000"/>
        </w:rPr>
        <w:t xml:space="preserve"> Weibchen ihre Eier wahllos im Ackerboden ablegten. Bekanntlich werden die Käfer-Weibchen durch das erhöhte Futterangebot der Ölkürbispflanzen angehalten im Kürbisacker zu verweilen. Dort legen sie auch unmittelbar und flächendeckend ihre Eier ab (Klug, 2014; „Kürbispollen stellt für die Käfer eine beliebte Nahrungsquelle dar, und ist bis in den frühen Oktober hinein verfügbar“).</w:t>
      </w:r>
    </w:p>
    <w:p w:rsidR="009E0391" w:rsidRPr="0099786D" w:rsidRDefault="009E0391" w:rsidP="009E0391">
      <w:pPr>
        <w:pStyle w:val="Beschriftung"/>
      </w:pPr>
      <w:bookmarkStart w:id="48" w:name="_Toc532311586"/>
      <w:bookmarkStart w:id="49" w:name="_Toc7715397"/>
      <w:r w:rsidRPr="0099786D">
        <w:rPr>
          <w:noProof/>
          <w:lang w:eastAsia="de-AT"/>
        </w:rPr>
        <w:drawing>
          <wp:anchor distT="0" distB="0" distL="114300" distR="114300" simplePos="0" relativeHeight="251748864" behindDoc="1" locked="0" layoutInCell="1" allowOverlap="1" wp14:anchorId="7C985696" wp14:editId="7B3EB146">
            <wp:simplePos x="0" y="0"/>
            <wp:positionH relativeFrom="column">
              <wp:posOffset>-254635</wp:posOffset>
            </wp:positionH>
            <wp:positionV relativeFrom="paragraph">
              <wp:posOffset>39370</wp:posOffset>
            </wp:positionV>
            <wp:extent cx="5934075" cy="3343275"/>
            <wp:effectExtent l="0" t="0" r="9525" b="9525"/>
            <wp:wrapTight wrapText="bothSides">
              <wp:wrapPolygon edited="0">
                <wp:start x="0" y="0"/>
                <wp:lineTo x="0" y="21538"/>
                <wp:lineTo x="21565" y="21538"/>
                <wp:lineTo x="21565" y="0"/>
                <wp:lineTo x="0" y="0"/>
              </wp:wrapPolygon>
            </wp:wrapTight>
            <wp:docPr id="9256" name="Grafik 9256" descr="MAx_Käfer_Fang_2016-17_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x_Käfer_Fang_2016-17_ST"/>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5934075" cy="334327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Abbildung </w:t>
      </w:r>
      <w:fldSimple w:instr=" SEQ Abbildung \* ARABIC ">
        <w:r w:rsidR="00C41750">
          <w:rPr>
            <w:noProof/>
          </w:rPr>
          <w:t>6</w:t>
        </w:r>
      </w:fldSimple>
      <w:r>
        <w:t>:</w:t>
      </w:r>
      <w:r w:rsidRPr="0099786D">
        <w:t xml:space="preserve"> Diabrotica v. virgifera Käferfangzahlen pro Fläche Maisacker (m</w:t>
      </w:r>
      <w:r w:rsidRPr="0099786D">
        <w:rPr>
          <w:vertAlign w:val="superscript"/>
        </w:rPr>
        <w:t>2</w:t>
      </w:r>
      <w:r w:rsidRPr="0099786D">
        <w:t>) im Versuchsjahr 2016 und 2017, in der GranMet</w:t>
      </w:r>
      <w:r w:rsidRPr="0099786D">
        <w:rPr>
          <w:vertAlign w:val="superscript"/>
        </w:rPr>
        <w:t>TM</w:t>
      </w:r>
      <w:r w:rsidRPr="0099786D">
        <w:t xml:space="preserve"> Behandlungsfläche Laafeld und Dietzen, sowie den Kontrollflächen, welche sich in unmittelbarer Nähe der Behandlungsfläche Dietzen befanden. In Laafeld wurde 2017 ein Fruchtwechsel durchgeführt.</w:t>
      </w:r>
      <w:bookmarkEnd w:id="48"/>
      <w:bookmarkEnd w:id="49"/>
    </w:p>
    <w:p w:rsidR="009E0391" w:rsidRPr="0099786D" w:rsidRDefault="009E0391" w:rsidP="009E0391">
      <w:pPr>
        <w:spacing w:before="120"/>
        <w:jc w:val="both"/>
        <w:rPr>
          <w:rFonts w:ascii="Arial" w:eastAsia="Times New Roman" w:hAnsi="Arial" w:cs="Arial"/>
          <w:sz w:val="22"/>
          <w:szCs w:val="22"/>
          <w:lang w:val="de-DE" w:eastAsia="de-AT"/>
        </w:rPr>
      </w:pPr>
      <w:r w:rsidRPr="0099786D">
        <w:rPr>
          <w:rFonts w:ascii="Arial" w:eastAsia="Times New Roman" w:hAnsi="Arial" w:cs="Arial"/>
          <w:noProof/>
          <w:sz w:val="22"/>
          <w:szCs w:val="22"/>
          <w:highlight w:val="yellow"/>
          <w:lang w:eastAsia="de-AT"/>
        </w:rPr>
        <w:drawing>
          <wp:inline distT="0" distB="0" distL="0" distR="0" wp14:anchorId="2F23C324" wp14:editId="0A020789">
            <wp:extent cx="5191125" cy="3967629"/>
            <wp:effectExtent l="0" t="0" r="0" b="0"/>
            <wp:docPr id="9257" name="Grafik 9257" descr="Steiermar_mit_Kontrollflä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teiermar_mit_Kontrollflächen"/>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5199088" cy="3973715"/>
                    </a:xfrm>
                    <a:prstGeom prst="rect">
                      <a:avLst/>
                    </a:prstGeom>
                    <a:noFill/>
                    <a:ln>
                      <a:noFill/>
                    </a:ln>
                  </pic:spPr>
                </pic:pic>
              </a:graphicData>
            </a:graphic>
          </wp:inline>
        </w:drawing>
      </w:r>
    </w:p>
    <w:p w:rsidR="009E0391" w:rsidRPr="0099786D" w:rsidRDefault="009E0391" w:rsidP="00F22CBC">
      <w:pPr>
        <w:pStyle w:val="Beschriftung"/>
        <w:jc w:val="both"/>
        <w:rPr>
          <w:lang w:eastAsia="it-IT"/>
        </w:rPr>
      </w:pPr>
      <w:bookmarkStart w:id="50" w:name="_Toc532311587"/>
      <w:bookmarkStart w:id="51" w:name="_Toc7715398"/>
      <w:r>
        <w:t xml:space="preserve">Abbildung </w:t>
      </w:r>
      <w:fldSimple w:instr=" SEQ Abbildung \* ARABIC ">
        <w:r w:rsidR="0048165C">
          <w:rPr>
            <w:noProof/>
          </w:rPr>
          <w:t>7</w:t>
        </w:r>
      </w:fldSimple>
      <w:r>
        <w:t>:</w:t>
      </w:r>
      <w:r w:rsidRPr="0099786D">
        <w:rPr>
          <w:lang w:eastAsia="it-IT"/>
        </w:rPr>
        <w:t xml:space="preserve"> Metarhizium Abundanz nach fünf GranMet</w:t>
      </w:r>
      <w:r w:rsidRPr="0099786D">
        <w:rPr>
          <w:vertAlign w:val="superscript"/>
          <w:lang w:eastAsia="it-IT"/>
        </w:rPr>
        <w:t>TM</w:t>
      </w:r>
      <w:r w:rsidRPr="0099786D">
        <w:rPr>
          <w:lang w:eastAsia="it-IT"/>
        </w:rPr>
        <w:t xml:space="preserve"> Applikationen, welche mit Ausnahme Laafeld (2014 – Herbstapplikation; 2017 Fruchtwechsel) stets im Frühjahr vor der Maisaussaat, mit einer Dosierung von 50 kg GranMet</w:t>
      </w:r>
      <w:r w:rsidRPr="0099786D">
        <w:rPr>
          <w:vertAlign w:val="superscript"/>
          <w:lang w:eastAsia="it-IT"/>
        </w:rPr>
        <w:t>TM</w:t>
      </w:r>
      <w:r w:rsidRPr="0099786D">
        <w:rPr>
          <w:lang w:eastAsia="it-IT"/>
        </w:rPr>
        <w:t xml:space="preserve"> pro Hektar und Jahr, in den Boden eingearbeitet wurde. Das unbehandelte Kontrollfeld befanden sich in unmittelbarer Nähe zum Versuchsfeld Dietzen.</w:t>
      </w:r>
      <w:bookmarkEnd w:id="50"/>
      <w:bookmarkEnd w:id="51"/>
    </w:p>
    <w:p w:rsidR="009E0391" w:rsidRPr="0099786D" w:rsidRDefault="009E0391" w:rsidP="00F22CBC">
      <w:pPr>
        <w:spacing w:before="270" w:line="276" w:lineRule="auto"/>
        <w:jc w:val="both"/>
        <w:rPr>
          <w:rFonts w:eastAsia="Times New Roman"/>
          <w:color w:val="000000"/>
        </w:rPr>
      </w:pPr>
      <w:r w:rsidRPr="0099786D">
        <w:rPr>
          <w:rFonts w:eastAsia="Times New Roman"/>
          <w:color w:val="000000"/>
        </w:rPr>
        <w:t xml:space="preserve">Mit dieser Präventions-Langzeitstudie von über sechs Jahren konnte gezeigt werden, dass die </w:t>
      </w:r>
      <w:r w:rsidRPr="0099786D">
        <w:rPr>
          <w:rFonts w:eastAsia="Times New Roman"/>
          <w:i/>
          <w:color w:val="000000"/>
        </w:rPr>
        <w:t>Diabrotica-</w:t>
      </w:r>
      <w:r w:rsidRPr="0099786D">
        <w:rPr>
          <w:rFonts w:eastAsia="Times New Roman"/>
          <w:color w:val="000000"/>
        </w:rPr>
        <w:t xml:space="preserve">Population in der Region Bad Radkersburg Umgebung, sowohl stets einer starken natürlichen Abundanz-Schwankung unterworfen war, als auch durch die Anwendung von </w:t>
      </w:r>
      <w:r w:rsidRPr="0099786D">
        <w:rPr>
          <w:rFonts w:eastAsia="Times New Roman"/>
          <w:i/>
          <w:color w:val="000000"/>
        </w:rPr>
        <w:t>M. brunneum</w:t>
      </w:r>
      <w:r w:rsidRPr="0099786D">
        <w:rPr>
          <w:rFonts w:eastAsia="Times New Roman"/>
          <w:color w:val="000000"/>
        </w:rPr>
        <w:t xml:space="preserve"> BIPESCO 5 (GranMet</w:t>
      </w:r>
      <w:r w:rsidRPr="0099786D">
        <w:rPr>
          <w:rFonts w:eastAsia="Times New Roman"/>
          <w:color w:val="000000"/>
          <w:vertAlign w:val="superscript"/>
        </w:rPr>
        <w:t>TM</w:t>
      </w:r>
      <w:r w:rsidRPr="0099786D">
        <w:rPr>
          <w:rFonts w:eastAsia="Times New Roman"/>
          <w:color w:val="000000"/>
        </w:rPr>
        <w:t xml:space="preserve">) die </w:t>
      </w:r>
      <w:r w:rsidRPr="0099786D">
        <w:rPr>
          <w:rFonts w:eastAsia="Times New Roman"/>
          <w:i/>
          <w:color w:val="000000"/>
        </w:rPr>
        <w:t>Diabrotica</w:t>
      </w:r>
      <w:r>
        <w:rPr>
          <w:rFonts w:eastAsia="Times New Roman"/>
          <w:i/>
          <w:color w:val="000000"/>
        </w:rPr>
        <w:t>-</w:t>
      </w:r>
      <w:r w:rsidRPr="0099786D">
        <w:rPr>
          <w:rFonts w:eastAsia="Times New Roman"/>
          <w:color w:val="000000"/>
        </w:rPr>
        <w:t>Abundanz verlässlich und entscheidend beeinflusst werden konnte. Eine positive Schädlingskontrolle des Maiswurzelbohrers durch die GranMet</w:t>
      </w:r>
      <w:r w:rsidRPr="0099786D">
        <w:rPr>
          <w:rFonts w:eastAsia="Times New Roman"/>
          <w:color w:val="000000"/>
          <w:vertAlign w:val="superscript"/>
        </w:rPr>
        <w:t>TM</w:t>
      </w:r>
      <w:r w:rsidRPr="0099786D">
        <w:rPr>
          <w:rFonts w:eastAsia="Times New Roman"/>
          <w:color w:val="000000"/>
        </w:rPr>
        <w:t xml:space="preserve"> Anwendung konnte nur indirekt am Versuchsstandort Dietzen nachgewiesen werden. Trotz hoher Populationsdichte des Maiswurzelbohrers konnten nur geringfügige Maisschäden, besonders Lagerungsschäden, nachgewiesen werden. Eine hoch signifikante negative Korrelation konnte zwischen Zunahme der </w:t>
      </w:r>
      <w:r w:rsidRPr="0099786D">
        <w:rPr>
          <w:rFonts w:eastAsia="Times New Roman"/>
          <w:i/>
          <w:color w:val="000000"/>
        </w:rPr>
        <w:t>Metarhizium</w:t>
      </w:r>
      <w:r>
        <w:rPr>
          <w:rFonts w:eastAsia="Times New Roman"/>
          <w:color w:val="000000"/>
        </w:rPr>
        <w:t>-</w:t>
      </w:r>
      <w:r w:rsidRPr="0099786D">
        <w:rPr>
          <w:rFonts w:eastAsia="Times New Roman"/>
          <w:color w:val="000000"/>
        </w:rPr>
        <w:t xml:space="preserve">Abundanz verbunden mit einer Abnahme der </w:t>
      </w:r>
      <w:r w:rsidRPr="0099786D">
        <w:rPr>
          <w:rFonts w:eastAsia="Times New Roman"/>
          <w:i/>
          <w:color w:val="000000"/>
        </w:rPr>
        <w:t>Diabrotica</w:t>
      </w:r>
      <w:r>
        <w:rPr>
          <w:rFonts w:eastAsia="Times New Roman"/>
          <w:i/>
          <w:color w:val="000000"/>
        </w:rPr>
        <w:t>-</w:t>
      </w:r>
      <w:r w:rsidRPr="0099786D">
        <w:rPr>
          <w:rFonts w:eastAsia="Times New Roman"/>
          <w:color w:val="000000"/>
        </w:rPr>
        <w:t>Abundanz, nach einer oder mehrmaliger nach GranMet</w:t>
      </w:r>
      <w:r w:rsidRPr="0099786D">
        <w:rPr>
          <w:rFonts w:eastAsia="Times New Roman"/>
          <w:color w:val="000000"/>
          <w:vertAlign w:val="superscript"/>
        </w:rPr>
        <w:t>TM</w:t>
      </w:r>
      <w:r w:rsidRPr="0099786D">
        <w:rPr>
          <w:rFonts w:eastAsia="Times New Roman"/>
          <w:color w:val="000000"/>
        </w:rPr>
        <w:t xml:space="preserve"> Anwendung, nachgewiesen werden. Bezüglich der Wirksamkeit des Pilzes gilt zu erwähnen, dass </w:t>
      </w:r>
      <w:r w:rsidRPr="0099786D">
        <w:rPr>
          <w:rFonts w:eastAsia="Times New Roman"/>
          <w:i/>
          <w:color w:val="000000"/>
        </w:rPr>
        <w:t xml:space="preserve">Metarhizium </w:t>
      </w:r>
      <w:r w:rsidRPr="0099786D">
        <w:rPr>
          <w:rFonts w:eastAsia="Times New Roman"/>
          <w:color w:val="000000"/>
        </w:rPr>
        <w:t>nicht nur schlussendlich seinen Wirt tötet, sondern schon viel früher, nach erfolgter Infektion, durch die Erkrankung der Larven und Käfer, die Nahrungsaufnahme (sprich Fraßleistung) der Individuen stark reduzieren kann. Diese Stressreaktion, bedingt durch die Präsenz des Produktionsstammes, ist seit längerem bekannt und führt auch meist zu einer Retrogradation in der Schädlingspo</w:t>
      </w:r>
      <w:r>
        <w:rPr>
          <w:rFonts w:eastAsia="Times New Roman"/>
          <w:color w:val="000000"/>
        </w:rPr>
        <w:t>p</w:t>
      </w:r>
      <w:r w:rsidRPr="0099786D">
        <w:rPr>
          <w:rFonts w:eastAsia="Times New Roman"/>
          <w:color w:val="000000"/>
        </w:rPr>
        <w:t xml:space="preserve">ulation. </w:t>
      </w:r>
      <w:r>
        <w:rPr>
          <w:rFonts w:eastAsia="Times New Roman"/>
          <w:color w:val="000000"/>
        </w:rPr>
        <w:t xml:space="preserve">In Zusammenhang mit </w:t>
      </w:r>
      <w:r w:rsidRPr="00872AFC">
        <w:rPr>
          <w:rFonts w:eastAsia="Times New Roman"/>
          <w:i/>
          <w:color w:val="000000"/>
        </w:rPr>
        <w:t xml:space="preserve">Beauveria brongniartii </w:t>
      </w:r>
      <w:r>
        <w:rPr>
          <w:rFonts w:eastAsia="Times New Roman"/>
          <w:color w:val="000000"/>
        </w:rPr>
        <w:t>wurden ä</w:t>
      </w:r>
      <w:r w:rsidRPr="0099786D">
        <w:rPr>
          <w:rFonts w:eastAsia="Times New Roman"/>
          <w:color w:val="000000"/>
        </w:rPr>
        <w:t>hnliche Beobachtungen beim Bodenschädling Maikäfer gemacht, wo</w:t>
      </w:r>
      <w:r>
        <w:rPr>
          <w:rFonts w:eastAsia="Times New Roman"/>
          <w:color w:val="000000"/>
        </w:rPr>
        <w:t xml:space="preserve"> es</w:t>
      </w:r>
      <w:r w:rsidRPr="0099786D">
        <w:rPr>
          <w:rFonts w:eastAsia="Times New Roman"/>
          <w:color w:val="000000"/>
        </w:rPr>
        <w:t xml:space="preserve"> in der zweiten Generation zum Zusammenbruch der Schädlingspopulation durch das Entomopathogen kam.</w:t>
      </w:r>
    </w:p>
    <w:p w:rsidR="009E0391" w:rsidRPr="0099786D" w:rsidRDefault="009E0391" w:rsidP="00F22CBC">
      <w:pPr>
        <w:spacing w:before="270" w:line="276" w:lineRule="auto"/>
        <w:jc w:val="both"/>
        <w:rPr>
          <w:rFonts w:eastAsia="Times New Roman"/>
          <w:color w:val="000000"/>
        </w:rPr>
      </w:pPr>
      <w:r w:rsidRPr="0099786D">
        <w:rPr>
          <w:rFonts w:eastAsia="Times New Roman"/>
          <w:b/>
          <w:bCs/>
          <w:color w:val="000000"/>
        </w:rPr>
        <w:t>Resümee</w:t>
      </w:r>
      <w:r w:rsidRPr="0099786D">
        <w:rPr>
          <w:rFonts w:eastAsia="Times New Roman"/>
          <w:color w:val="000000"/>
        </w:rPr>
        <w:t xml:space="preserve">: Eine hohe, gleichmäßig verteilte Pilzdichte </w:t>
      </w:r>
      <w:r w:rsidRPr="001D3CB3">
        <w:rPr>
          <w:rFonts w:eastAsia="Times New Roman"/>
          <w:color w:val="000000"/>
        </w:rPr>
        <w:t xml:space="preserve">im Boden ist notwendig, um das Infektionspotential über eine gesamte Pflanzensaison sicher zu stellen (Rauch et al., 2017). Bei einer zu geringen Schädlingsbefallsdichte nimmt naturgemäß die geforderte </w:t>
      </w:r>
      <w:r w:rsidRPr="001D3CB3">
        <w:rPr>
          <w:rFonts w:eastAsia="Times New Roman"/>
          <w:i/>
          <w:color w:val="000000"/>
        </w:rPr>
        <w:t>Metarhizium</w:t>
      </w:r>
      <w:r w:rsidRPr="001D3CB3">
        <w:rPr>
          <w:rFonts w:eastAsia="Times New Roman"/>
          <w:color w:val="000000"/>
        </w:rPr>
        <w:t xml:space="preserve">-Dichte aufgrund des fehlenden Wirtes, wieder auf einen sogenannten „Background“ Wert ab (Sheepmaker &amp; Butt, 2010; siehe Abbildung </w:t>
      </w:r>
      <w:r w:rsidR="00E460C1" w:rsidRPr="001D3CB3">
        <w:rPr>
          <w:rFonts w:eastAsia="Times New Roman"/>
          <w:color w:val="000000"/>
        </w:rPr>
        <w:t>5</w:t>
      </w:r>
      <w:r w:rsidRPr="001D3CB3">
        <w:rPr>
          <w:rFonts w:eastAsia="Times New Roman"/>
          <w:color w:val="000000"/>
        </w:rPr>
        <w:t>, grauunterlegte Fläche). Stets mit Beginn einer neuen Pflanzensaison soll deshalb GranMet</w:t>
      </w:r>
      <w:r w:rsidRPr="001D3CB3">
        <w:rPr>
          <w:rFonts w:eastAsia="Times New Roman"/>
          <w:color w:val="000000"/>
          <w:vertAlign w:val="superscript"/>
        </w:rPr>
        <w:t>TM</w:t>
      </w:r>
      <w:r w:rsidRPr="001D3CB3">
        <w:rPr>
          <w:rFonts w:eastAsia="Times New Roman"/>
          <w:color w:val="000000"/>
        </w:rPr>
        <w:t>, je nach Bodenbearbeitung und Pflanzenschutzmitteleinsatz, zumindest mit einer</w:t>
      </w:r>
      <w:r w:rsidRPr="0099786D">
        <w:rPr>
          <w:rFonts w:eastAsia="Times New Roman"/>
          <w:color w:val="000000"/>
        </w:rPr>
        <w:t xml:space="preserve"> Aufwandmenge von 50 kg pro Hektar und Jahr in den Boden eingearbeitet werden.</w:t>
      </w:r>
    </w:p>
    <w:p w:rsidR="009E0391" w:rsidRPr="0099786D" w:rsidRDefault="009E0391" w:rsidP="009E0391">
      <w:pPr>
        <w:pStyle w:val="12Unterkapitel"/>
      </w:pPr>
      <w:bookmarkStart w:id="52" w:name="_Toc532311634"/>
      <w:bookmarkStart w:id="53" w:name="_Toc7715565"/>
      <w:r w:rsidRPr="0099786D">
        <w:t>Schlupfkäfermonitoring (2016 und 2017)</w:t>
      </w:r>
      <w:bookmarkEnd w:id="52"/>
      <w:bookmarkEnd w:id="53"/>
    </w:p>
    <w:p w:rsidR="009E0391" w:rsidRPr="0099786D" w:rsidRDefault="009E0391" w:rsidP="00E460C1">
      <w:pPr>
        <w:spacing w:before="270" w:line="276" w:lineRule="auto"/>
        <w:jc w:val="both"/>
        <w:rPr>
          <w:rFonts w:eastAsia="Times New Roman"/>
          <w:color w:val="000000"/>
          <w:lang w:eastAsia="de-AT"/>
        </w:rPr>
      </w:pPr>
      <w:r w:rsidRPr="0099786D">
        <w:rPr>
          <w:rFonts w:eastAsia="Times New Roman"/>
          <w:color w:val="000000"/>
        </w:rPr>
        <w:t>In den Dauerbeobachtungsflächen in Dietzen und Laafeld (Steiermark) konnte für 2017 eine stetige Zunahme der Käferabundanz festgestellt werden (Ø 15 Käfer pro Pflanze bzw. 105 Käfer pro m</w:t>
      </w:r>
      <w:r w:rsidRPr="0099786D">
        <w:rPr>
          <w:rFonts w:eastAsia="Times New Roman"/>
          <w:color w:val="000000"/>
          <w:vertAlign w:val="superscript"/>
        </w:rPr>
        <w:t>2</w:t>
      </w:r>
      <w:r w:rsidRPr="0099786D">
        <w:rPr>
          <w:rFonts w:eastAsia="Times New Roman"/>
          <w:color w:val="000000"/>
        </w:rPr>
        <w:t xml:space="preserve">). Konnten in der Versuchsfläche Dietzen maximal 163 adulte </w:t>
      </w:r>
      <w:r w:rsidRPr="0099786D">
        <w:rPr>
          <w:rFonts w:eastAsia="Times New Roman"/>
          <w:i/>
          <w:color w:val="000000"/>
        </w:rPr>
        <w:t>Diabrotica</w:t>
      </w:r>
      <w:r w:rsidRPr="0099786D">
        <w:rPr>
          <w:rFonts w:eastAsia="Times New Roman"/>
          <w:color w:val="000000"/>
        </w:rPr>
        <w:t xml:space="preserve"> Käfer pro Schlupfkäfig in der Pflanzsaison 2016 gefangen werden (148 Käfer m</w:t>
      </w:r>
      <w:r w:rsidRPr="0099786D">
        <w:rPr>
          <w:rFonts w:eastAsia="Times New Roman"/>
          <w:color w:val="000000"/>
          <w:vertAlign w:val="superscript"/>
        </w:rPr>
        <w:t>-2</w:t>
      </w:r>
      <w:r w:rsidRPr="0099786D">
        <w:rPr>
          <w:rFonts w:eastAsia="Times New Roman"/>
          <w:color w:val="000000"/>
        </w:rPr>
        <w:t>), so wurden 2017 bis zu 234 Käfer Individuen pro Falle gezählt (212 Käfer m</w:t>
      </w:r>
      <w:r w:rsidRPr="0099786D">
        <w:rPr>
          <w:rFonts w:eastAsia="Times New Roman"/>
          <w:color w:val="000000"/>
          <w:vertAlign w:val="superscript"/>
        </w:rPr>
        <w:t>-2</w:t>
      </w:r>
      <w:r w:rsidRPr="0099786D">
        <w:rPr>
          <w:rFonts w:eastAsia="Times New Roman"/>
          <w:color w:val="000000"/>
        </w:rPr>
        <w:t xml:space="preserve">). Die Gesamtzahl adulter Käfer am Standort Dietzen war ebenfalls 2017 höher als im Vorjahr. Es konnte damals eine bis zu 2,5-fache Zunahme festgestellt werden. </w:t>
      </w:r>
      <w:r>
        <w:rPr>
          <w:rFonts w:eastAsia="Times New Roman"/>
          <w:color w:val="000000"/>
        </w:rPr>
        <w:t xml:space="preserve">Trotz der </w:t>
      </w:r>
      <w:r w:rsidRPr="0099786D">
        <w:rPr>
          <w:rFonts w:eastAsia="Times New Roman"/>
          <w:color w:val="000000"/>
        </w:rPr>
        <w:t xml:space="preserve">vielen Einzelaktionen, welche in der Region seit 2014 durchgeführt werden (Fruchtwechsel und Einsatz biologischer und chemischer Pflanzenschutzmittel), konnte keine Abnahme der Käferabundanz in Dedenitz festgestellt werden. Wie </w:t>
      </w:r>
      <w:r w:rsidR="00E460C1">
        <w:rPr>
          <w:rFonts w:eastAsia="Times New Roman"/>
          <w:color w:val="000000"/>
        </w:rPr>
        <w:t>bereits oben erwähnt</w:t>
      </w:r>
      <w:r w:rsidRPr="0099786D">
        <w:rPr>
          <w:rFonts w:eastAsia="Times New Roman"/>
          <w:color w:val="000000"/>
        </w:rPr>
        <w:t xml:space="preserve">, musste für die Region selbst eine über 40 Prozentige Zunahme registriert werden (Käferfänge in Altneudörfel/Bad Radkersburg im Jahr 2018: 7075 Käfer; im Jahr 2017 waren es 4997 Käfer). </w:t>
      </w:r>
    </w:p>
    <w:p w:rsidR="009E0391" w:rsidRPr="0099786D" w:rsidRDefault="009E0391" w:rsidP="009E0391">
      <w:pPr>
        <w:pStyle w:val="12Unterkapitel"/>
      </w:pPr>
      <w:bookmarkStart w:id="54" w:name="_Toc532311635"/>
      <w:bookmarkStart w:id="55" w:name="_Toc7715566"/>
      <w:r w:rsidRPr="0099786D">
        <w:t>Pflanzenbonitur</w:t>
      </w:r>
      <w:bookmarkEnd w:id="54"/>
      <w:bookmarkEnd w:id="55"/>
      <w:r w:rsidRPr="0099786D">
        <w:t xml:space="preserve"> </w:t>
      </w:r>
    </w:p>
    <w:p w:rsidR="009E0391" w:rsidRDefault="009E0391" w:rsidP="00055400">
      <w:pPr>
        <w:spacing w:before="270" w:line="276" w:lineRule="auto"/>
        <w:jc w:val="both"/>
        <w:rPr>
          <w:rFonts w:eastAsia="Times New Roman"/>
          <w:color w:val="000000"/>
        </w:rPr>
      </w:pPr>
      <w:r w:rsidRPr="0099786D">
        <w:rPr>
          <w:rFonts w:eastAsia="Times New Roman"/>
          <w:color w:val="000000"/>
        </w:rPr>
        <w:t xml:space="preserve">In allen drei Pflanzsaisonen wurden weit mehr als 15.000 Maispflanzen pro Jahr in den beiden Versuchsfeldern sowie in </w:t>
      </w:r>
      <w:r w:rsidRPr="001D3CB3">
        <w:rPr>
          <w:rFonts w:eastAsia="Times New Roman"/>
          <w:color w:val="000000"/>
        </w:rPr>
        <w:t xml:space="preserve">dem Kontrollfeld nahe der Behandlungsfläche Dietzen bonitiert. Die Ergebnisse können wie folgt zusammengefasst werden: Die Kontrollfläche 2016 wies einen Totalschaden auf (über 85 % des Pflanzenbestandes entsprach Kriterium 3 bzw. 4. Zur Erinnerung: Kriterium 3 entspricht einer Maispflanze mit „starker Neigung über 30° von Vertikal mit Gänsehals“ und 4 bedeutet Lagerungsschäden = Erntehinderniss; Abbildung </w:t>
      </w:r>
      <w:r w:rsidR="00E460C1" w:rsidRPr="001D3CB3">
        <w:rPr>
          <w:rFonts w:eastAsia="Times New Roman"/>
          <w:color w:val="000000"/>
        </w:rPr>
        <w:t>8</w:t>
      </w:r>
      <w:r w:rsidRPr="001D3CB3">
        <w:rPr>
          <w:rFonts w:eastAsia="Times New Roman"/>
          <w:color w:val="000000"/>
        </w:rPr>
        <w:t xml:space="preserve">). Die beiden behandelten „Präventionsflächen“ hingegen zeigten 2016 und 2017 keinen bis nur marginalen Schaden (&gt; 10 % Lagerung; Abbildung </w:t>
      </w:r>
      <w:r w:rsidR="00E460C1" w:rsidRPr="001D3CB3">
        <w:rPr>
          <w:rFonts w:eastAsia="Times New Roman"/>
          <w:color w:val="000000"/>
        </w:rPr>
        <w:t>8</w:t>
      </w:r>
      <w:r w:rsidRPr="001D3CB3">
        <w:rPr>
          <w:rFonts w:eastAsia="Times New Roman"/>
          <w:color w:val="000000"/>
        </w:rPr>
        <w:t>). Dem</w:t>
      </w:r>
      <w:r w:rsidRPr="0099786D">
        <w:rPr>
          <w:rFonts w:eastAsia="Times New Roman"/>
          <w:color w:val="000000"/>
        </w:rPr>
        <w:t xml:space="preserve"> Ernteertrag musste im Jahr 2017 Jahr eine besondere Bedeutung beigemessen werden, da durch die Trockenheit in der Region Bad Radkersburg Umgebung für die Pflanzen nur bedingt gutes Wachstum, </w:t>
      </w:r>
      <w:r w:rsidR="00E460C1" w:rsidRPr="0099786D">
        <w:rPr>
          <w:rFonts w:eastAsia="Times New Roman"/>
          <w:color w:val="000000"/>
        </w:rPr>
        <w:t xml:space="preserve">möglich war. </w:t>
      </w:r>
      <w:r w:rsidR="00055400" w:rsidRPr="0099786D">
        <w:rPr>
          <w:rFonts w:eastAsia="Times New Roman"/>
          <w:color w:val="000000"/>
        </w:rPr>
        <w:t>Zahlreiche Maispflanzen, besonders auch in der Kontrollfläche Donnersdorf (Rossschädl)</w:t>
      </w:r>
      <w:r w:rsidR="00055400">
        <w:rPr>
          <w:rFonts w:eastAsia="Times New Roman"/>
          <w:color w:val="000000"/>
        </w:rPr>
        <w:t>,</w:t>
      </w:r>
      <w:r w:rsidR="00055400" w:rsidRPr="0099786D">
        <w:rPr>
          <w:rFonts w:eastAsia="Times New Roman"/>
          <w:color w:val="000000"/>
        </w:rPr>
        <w:t xml:space="preserve"> waren verdorrt oder zeigten nur Kümmerwuchs. Da auch zum Teil keine Maiskolben gebildet wurden</w:t>
      </w:r>
      <w:r w:rsidR="00055400">
        <w:rPr>
          <w:rFonts w:eastAsia="Times New Roman"/>
          <w:color w:val="000000"/>
        </w:rPr>
        <w:t xml:space="preserve">, </w:t>
      </w:r>
      <w:r w:rsidR="00055400" w:rsidRPr="0099786D">
        <w:rPr>
          <w:rFonts w:eastAsia="Times New Roman"/>
          <w:color w:val="000000"/>
        </w:rPr>
        <w:t>konnten auch keine typischen Boniturschäden wie z.B. Lagerung festgestellt werden.</w:t>
      </w:r>
    </w:p>
    <w:p w:rsidR="009E0391" w:rsidRDefault="009E0391" w:rsidP="009E0391">
      <w:pPr>
        <w:spacing w:before="270" w:line="276" w:lineRule="auto"/>
        <w:rPr>
          <w:rFonts w:eastAsia="Times New Roman"/>
          <w:color w:val="000000"/>
        </w:rPr>
      </w:pPr>
    </w:p>
    <w:p w:rsidR="009E0391" w:rsidRDefault="009E0391" w:rsidP="009E0391">
      <w:pPr>
        <w:spacing w:before="270" w:line="276" w:lineRule="auto"/>
        <w:rPr>
          <w:rFonts w:eastAsia="Times New Roman"/>
          <w:color w:val="000000"/>
        </w:rPr>
      </w:pPr>
      <w:r>
        <w:rPr>
          <w:rFonts w:eastAsia="Times New Roman"/>
          <w:noProof/>
          <w:color w:val="000000"/>
          <w:lang w:eastAsia="de-AT"/>
        </w:rPr>
        <w:drawing>
          <wp:inline distT="0" distB="0" distL="0" distR="0" wp14:anchorId="0AE7C2E1" wp14:editId="782BD660">
            <wp:extent cx="6244943" cy="6791325"/>
            <wp:effectExtent l="0" t="0" r="3810" b="0"/>
            <wp:docPr id="9258" name="Grafik 9258" title="Maisbonitur Radkers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9" name="Bonitur_Laafeld_Dietzen_Bericht.jpg"/>
                    <pic:cNvPicPr/>
                  </pic:nvPicPr>
                  <pic:blipFill>
                    <a:blip r:embed="rId44">
                      <a:extLst>
                        <a:ext uri="{28A0092B-C50C-407E-A947-70E740481C1C}">
                          <a14:useLocalDpi xmlns:a14="http://schemas.microsoft.com/office/drawing/2010/main" val="0"/>
                        </a:ext>
                      </a:extLst>
                    </a:blip>
                    <a:stretch>
                      <a:fillRect/>
                    </a:stretch>
                  </pic:blipFill>
                  <pic:spPr>
                    <a:xfrm>
                      <a:off x="0" y="0"/>
                      <a:ext cx="6248324" cy="6795002"/>
                    </a:xfrm>
                    <a:prstGeom prst="rect">
                      <a:avLst/>
                    </a:prstGeom>
                  </pic:spPr>
                </pic:pic>
              </a:graphicData>
            </a:graphic>
          </wp:inline>
        </w:drawing>
      </w:r>
    </w:p>
    <w:p w:rsidR="009E0391" w:rsidRDefault="009E0391" w:rsidP="009E0391">
      <w:pPr>
        <w:rPr>
          <w:rFonts w:eastAsia="Times New Roman"/>
          <w:color w:val="000000"/>
        </w:rPr>
      </w:pPr>
    </w:p>
    <w:p w:rsidR="009E0391" w:rsidRDefault="009E0391" w:rsidP="009E0391">
      <w:pPr>
        <w:rPr>
          <w:rFonts w:eastAsia="Times New Roman"/>
          <w:color w:val="000000"/>
        </w:rPr>
      </w:pPr>
      <w:r>
        <w:rPr>
          <w:rFonts w:eastAsia="Times New Roman"/>
          <w:noProof/>
          <w:color w:val="000000"/>
          <w:lang w:eastAsia="de-AT"/>
        </w:rPr>
        <w:drawing>
          <wp:inline distT="0" distB="0" distL="0" distR="0" wp14:anchorId="44CC1A42" wp14:editId="651839B4">
            <wp:extent cx="5828030" cy="601345"/>
            <wp:effectExtent l="0" t="0" r="1270" b="8255"/>
            <wp:docPr id="9259" name="Grafik 9259" title="Legende Abb.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onitur_Laafeld_Dietzen_Bericht.jpg"/>
                    <pic:cNvPicPr/>
                  </pic:nvPicPr>
                  <pic:blipFill rotWithShape="1">
                    <a:blip r:embed="rId45">
                      <a:extLst>
                        <a:ext uri="{28A0092B-C50C-407E-A947-70E740481C1C}">
                          <a14:useLocalDpi xmlns:a14="http://schemas.microsoft.com/office/drawing/2010/main" val="0"/>
                        </a:ext>
                      </a:extLst>
                    </a:blip>
                    <a:srcRect t="91257"/>
                    <a:stretch/>
                  </pic:blipFill>
                  <pic:spPr bwMode="auto">
                    <a:xfrm>
                      <a:off x="0" y="0"/>
                      <a:ext cx="5828030" cy="601345"/>
                    </a:xfrm>
                    <a:prstGeom prst="rect">
                      <a:avLst/>
                    </a:prstGeom>
                    <a:ln>
                      <a:noFill/>
                    </a:ln>
                    <a:extLst>
                      <a:ext uri="{53640926-AAD7-44D8-BBD7-CCE9431645EC}">
                        <a14:shadowObscured xmlns:a14="http://schemas.microsoft.com/office/drawing/2010/main"/>
                      </a:ext>
                    </a:extLst>
                  </pic:spPr>
                </pic:pic>
              </a:graphicData>
            </a:graphic>
          </wp:inline>
        </w:drawing>
      </w:r>
    </w:p>
    <w:p w:rsidR="009E0391" w:rsidRPr="0099786D" w:rsidRDefault="009E0391" w:rsidP="00055400">
      <w:pPr>
        <w:pStyle w:val="Beschriftung"/>
        <w:jc w:val="both"/>
      </w:pPr>
      <w:bookmarkStart w:id="56" w:name="_Toc532311588"/>
      <w:bookmarkStart w:id="57" w:name="_Toc7715399"/>
      <w:r>
        <w:t xml:space="preserve">Abbildung </w:t>
      </w:r>
      <w:fldSimple w:instr=" SEQ Abbildung \* ARABIC ">
        <w:r w:rsidR="00E460C1">
          <w:rPr>
            <w:noProof/>
          </w:rPr>
          <w:t>8</w:t>
        </w:r>
      </w:fldSimple>
      <w:r>
        <w:t>:</w:t>
      </w:r>
      <w:r w:rsidRPr="0099786D">
        <w:t xml:space="preserve"> Maisbonitur in der Pflanzsaison 2016 und 2017: in den GranMet</w:t>
      </w:r>
      <w:r w:rsidRPr="0099786D">
        <w:rPr>
          <w:vertAlign w:val="superscript"/>
        </w:rPr>
        <w:t>TM</w:t>
      </w:r>
      <w:r w:rsidRPr="0099786D">
        <w:t>-Behandlungsflächen (Dietzen und Laafeld) und in den Kontrollflächen (Dietzen und Donnersdorf). Boniturkriterien gemäß Foltin et al. (2014). Die Maisschäden für 2018 wurden nicht abgebildet, da in den Behandlungflächen die Schäden als</w:t>
      </w:r>
      <w:r>
        <w:t xml:space="preserve"> </w:t>
      </w:r>
      <w:r w:rsidRPr="0099786D">
        <w:t>vernachlässigbar einzustaufen warem (&lt; 1, 5 Prozent, keine Lagerungsschäden).</w:t>
      </w:r>
      <w:bookmarkEnd w:id="56"/>
      <w:bookmarkEnd w:id="57"/>
    </w:p>
    <w:p w:rsidR="009E0391" w:rsidRPr="0099786D" w:rsidRDefault="009E0391" w:rsidP="00055400">
      <w:pPr>
        <w:spacing w:before="270" w:line="276" w:lineRule="auto"/>
        <w:jc w:val="both"/>
        <w:rPr>
          <w:rFonts w:eastAsia="Times New Roman"/>
          <w:color w:val="000000"/>
        </w:rPr>
      </w:pPr>
      <w:r w:rsidRPr="0099786D">
        <w:rPr>
          <w:rFonts w:eastAsia="Times New Roman"/>
          <w:color w:val="000000"/>
        </w:rPr>
        <w:t xml:space="preserve">Bekanntlich kommt es sehr häufig zu Lagerungsschäden, wenn der Maiskolben fertig entwickelt ist und die ausgewachsene Maispflanze bei widrigen Wetterverhältnissen und wegen der starken Wurzelfraßschäden keinen </w:t>
      </w:r>
      <w:r w:rsidRPr="001D3CB3">
        <w:rPr>
          <w:rFonts w:eastAsia="Times New Roman"/>
          <w:color w:val="000000"/>
        </w:rPr>
        <w:t xml:space="preserve">ausreichenden Halt mehr im Boden findet, was beispielsweise 2018 in der Kontrollfläche „Rossschädl“ eintrat. Trotz des sehr milden, aber für die Region Bad Radkersburg Umgebung doch recht niederschlagsreichen Sommer, konnten in der Kontrollfläche massive Lagerungsschäden beobachtet werden (&gt; 30 Prozent; Abbildung </w:t>
      </w:r>
      <w:r w:rsidR="00055400" w:rsidRPr="001D3CB3">
        <w:rPr>
          <w:rFonts w:eastAsia="Times New Roman"/>
          <w:color w:val="000000"/>
        </w:rPr>
        <w:t>9</w:t>
      </w:r>
      <w:r w:rsidRPr="001D3CB3">
        <w:rPr>
          <w:rFonts w:eastAsia="Times New Roman"/>
          <w:color w:val="000000"/>
        </w:rPr>
        <w:t>). In den Dauerbehandlungsflächen hingegen konnte keine Schäden beobachtet werden (&lt; 2 Prozent und nur Kriterium</w:t>
      </w:r>
      <w:r w:rsidRPr="0099786D">
        <w:rPr>
          <w:rFonts w:eastAsia="Times New Roman"/>
          <w:color w:val="000000"/>
        </w:rPr>
        <w:t xml:space="preserve"> 2 Gänsehälse).Der Maisertrag war mit 14,7 t ha</w:t>
      </w:r>
      <w:r w:rsidRPr="0099786D">
        <w:rPr>
          <w:rFonts w:eastAsia="Times New Roman"/>
          <w:color w:val="000000"/>
          <w:vertAlign w:val="superscript"/>
        </w:rPr>
        <w:t>-1</w:t>
      </w:r>
      <w:r w:rsidRPr="0099786D">
        <w:rPr>
          <w:rFonts w:eastAsia="Times New Roman"/>
          <w:color w:val="000000"/>
        </w:rPr>
        <w:t xml:space="preserve"> in Laafeld (Maissorte Mexini RZ 450) und mit 12,0 t ha</w:t>
      </w:r>
      <w:r w:rsidRPr="0099786D">
        <w:rPr>
          <w:rFonts w:eastAsia="Times New Roman"/>
          <w:color w:val="000000"/>
          <w:vertAlign w:val="superscript"/>
        </w:rPr>
        <w:t>-1</w:t>
      </w:r>
      <w:r w:rsidRPr="0099786D">
        <w:rPr>
          <w:rFonts w:eastAsia="Times New Roman"/>
          <w:color w:val="000000"/>
        </w:rPr>
        <w:t>in Dietzen (Maissorte Sandra) mehr als zufriedenstellend.</w:t>
      </w:r>
    </w:p>
    <w:p w:rsidR="009E0391" w:rsidRPr="0099786D" w:rsidRDefault="009E0391" w:rsidP="009E0391">
      <w:pPr>
        <w:jc w:val="both"/>
        <w:rPr>
          <w:rFonts w:ascii="Arial" w:eastAsia="Times New Roman" w:hAnsi="Arial" w:cs="Arial"/>
          <w:b/>
          <w:sz w:val="22"/>
          <w:szCs w:val="22"/>
          <w:lang w:val="de-DE" w:eastAsia="de-AT"/>
        </w:rPr>
      </w:pPr>
    </w:p>
    <w:p w:rsidR="009E0391" w:rsidRPr="0099786D" w:rsidRDefault="009E0391" w:rsidP="009E0391">
      <w:pPr>
        <w:jc w:val="both"/>
        <w:rPr>
          <w:rFonts w:ascii="Arial" w:eastAsia="Times New Roman" w:hAnsi="Arial" w:cs="Arial"/>
          <w:b/>
          <w:sz w:val="22"/>
          <w:szCs w:val="22"/>
          <w:lang w:val="de-DE" w:eastAsia="de-AT"/>
        </w:rPr>
      </w:pPr>
      <w:r w:rsidRPr="0099786D">
        <w:rPr>
          <w:rFonts w:ascii="Arial" w:eastAsia="Times New Roman" w:hAnsi="Arial" w:cs="Arial"/>
          <w:b/>
          <w:noProof/>
          <w:sz w:val="22"/>
          <w:szCs w:val="22"/>
          <w:lang w:eastAsia="de-AT"/>
        </w:rPr>
        <w:drawing>
          <wp:inline distT="0" distB="0" distL="0" distR="0" wp14:anchorId="6D6AA586" wp14:editId="2F5CFE8A">
            <wp:extent cx="5934075" cy="4448175"/>
            <wp:effectExtent l="0" t="0" r="9525" b="9525"/>
            <wp:docPr id="9260" name="Grafik 9260" descr="Rossschädl_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ossschädl_2018"/>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5934075" cy="4448175"/>
                    </a:xfrm>
                    <a:prstGeom prst="rect">
                      <a:avLst/>
                    </a:prstGeom>
                    <a:noFill/>
                    <a:ln>
                      <a:noFill/>
                    </a:ln>
                  </pic:spPr>
                </pic:pic>
              </a:graphicData>
            </a:graphic>
          </wp:inline>
        </w:drawing>
      </w:r>
    </w:p>
    <w:p w:rsidR="009E0391" w:rsidRPr="0099786D" w:rsidRDefault="009E0391" w:rsidP="009E0391">
      <w:pPr>
        <w:jc w:val="both"/>
        <w:rPr>
          <w:rFonts w:ascii="Arial" w:eastAsia="Times New Roman" w:hAnsi="Arial" w:cs="Arial"/>
          <w:b/>
          <w:sz w:val="22"/>
          <w:szCs w:val="22"/>
          <w:lang w:val="de-DE" w:eastAsia="de-AT"/>
        </w:rPr>
      </w:pPr>
    </w:p>
    <w:p w:rsidR="009E0391" w:rsidRPr="0099786D" w:rsidRDefault="009E0391" w:rsidP="00055400">
      <w:pPr>
        <w:pStyle w:val="Beschriftung"/>
        <w:jc w:val="both"/>
      </w:pPr>
      <w:bookmarkStart w:id="58" w:name="_Toc532311589"/>
      <w:bookmarkStart w:id="59" w:name="_Toc7715400"/>
      <w:r>
        <w:t xml:space="preserve">Abbildung </w:t>
      </w:r>
      <w:fldSimple w:instr=" SEQ Abbildung \* ARABIC ">
        <w:r w:rsidR="00055400">
          <w:rPr>
            <w:noProof/>
          </w:rPr>
          <w:t>9</w:t>
        </w:r>
      </w:fldSimple>
      <w:r>
        <w:t>:</w:t>
      </w:r>
      <w:r w:rsidRPr="0099786D">
        <w:t xml:space="preserve"> Lagerungschäden in der Kontrollfläche Rosschädl (Donnersdorf, Steiermark) trotz optimaler Wuchs- und Witterungsbedingungen in der Pflanzsaison 2018 (Fischer ©).</w:t>
      </w:r>
      <w:bookmarkEnd w:id="58"/>
      <w:bookmarkEnd w:id="59"/>
    </w:p>
    <w:p w:rsidR="009E0391" w:rsidRPr="0099786D" w:rsidRDefault="009E0391" w:rsidP="009E0391">
      <w:pPr>
        <w:pStyle w:val="11Unterkapitel"/>
      </w:pPr>
      <w:bookmarkStart w:id="60" w:name="_Toc532311636"/>
      <w:bookmarkStart w:id="61" w:name="_Toc7715567"/>
      <w:r w:rsidRPr="0099786D">
        <w:t>Pilzpersistenz und Käferabundanz in den Präventionsflächen St. Johann in Tirol</w:t>
      </w:r>
      <w:bookmarkEnd w:id="60"/>
      <w:bookmarkEnd w:id="61"/>
    </w:p>
    <w:p w:rsidR="009E0391" w:rsidRPr="0099786D" w:rsidRDefault="009E0391" w:rsidP="009E0391">
      <w:pPr>
        <w:pStyle w:val="12Unterkapitel"/>
      </w:pPr>
      <w:bookmarkStart w:id="62" w:name="_Toc532311637"/>
      <w:bookmarkStart w:id="63" w:name="_Toc7715568"/>
      <w:r w:rsidRPr="0099786D">
        <w:t>Pilzabundanz</w:t>
      </w:r>
      <w:bookmarkEnd w:id="62"/>
      <w:bookmarkEnd w:id="63"/>
    </w:p>
    <w:p w:rsidR="009E0391" w:rsidRPr="0099786D" w:rsidRDefault="009E0391" w:rsidP="00055400">
      <w:pPr>
        <w:pStyle w:val="Flietext"/>
        <w:jc w:val="both"/>
      </w:pPr>
      <w:r w:rsidRPr="0099786D">
        <w:t xml:space="preserve">Die Ausgangssituation bezüglich eines natürlichen Vorkommens des entomopathogenen Pilzes </w:t>
      </w:r>
      <w:r w:rsidRPr="0099786D">
        <w:rPr>
          <w:i/>
        </w:rPr>
        <w:t xml:space="preserve">Metarhizium </w:t>
      </w:r>
      <w:r w:rsidRPr="0099786D">
        <w:t xml:space="preserve">spp. am Versuchsstandort St. Johann in Tirol und Oberndorf (Großachtetal, Tirol) konnte für März 2016 wie folgt beurteilt werden: An allen drei Versuchsfeldern konnte nur eine natürliche </w:t>
      </w:r>
      <w:r w:rsidRPr="0099786D">
        <w:rPr>
          <w:i/>
        </w:rPr>
        <w:t>Metarhizium</w:t>
      </w:r>
      <w:r w:rsidRPr="0099786D">
        <w:t xml:space="preserve">-Abundanz nachgewiesen werden (maximale </w:t>
      </w:r>
      <w:r w:rsidRPr="001D3CB3">
        <w:t>Pilzdichte: 1.592 KBE g</w:t>
      </w:r>
      <w:r w:rsidRPr="001D3CB3">
        <w:rPr>
          <w:vertAlign w:val="superscript"/>
        </w:rPr>
        <w:t>-1</w:t>
      </w:r>
      <w:r w:rsidRPr="001D3CB3">
        <w:t xml:space="preserve"> Boden TG im Versuchsfeld Burgenfeld). Im Durchschnitt war eine natürlich hohe Abundanz von mehr als 1.000 KBE g</w:t>
      </w:r>
      <w:r w:rsidRPr="001D3CB3">
        <w:rPr>
          <w:vertAlign w:val="superscript"/>
        </w:rPr>
        <w:t>-1</w:t>
      </w:r>
      <w:r w:rsidRPr="001D3CB3">
        <w:t xml:space="preserve"> Boden TG </w:t>
      </w:r>
      <w:r w:rsidRPr="001D3CB3">
        <w:rPr>
          <w:i/>
        </w:rPr>
        <w:t>Metarhizium</w:t>
      </w:r>
      <w:r w:rsidRPr="001D3CB3">
        <w:t xml:space="preserve"> bis zu einer Bodenschichttiefe von 30 cm nachzuweisen (Abbildung 1</w:t>
      </w:r>
      <w:r w:rsidR="009426F2" w:rsidRPr="001D3CB3">
        <w:t>0</w:t>
      </w:r>
      <w:r w:rsidRPr="001D3CB3">
        <w:t>). Die maximalen Dichtewerte in der Kontrollfläche betrugen 1.026 KBE g</w:t>
      </w:r>
      <w:r w:rsidRPr="001D3CB3">
        <w:rPr>
          <w:vertAlign w:val="superscript"/>
        </w:rPr>
        <w:t>-1</w:t>
      </w:r>
      <w:r w:rsidRPr="001D3CB3">
        <w:t xml:space="preserve"> TG. Durch die große Schwankungsbreite</w:t>
      </w:r>
      <w:r w:rsidRPr="0099786D">
        <w:t xml:space="preserve"> der Einzelproben (193 KBE g</w:t>
      </w:r>
      <w:r w:rsidRPr="0099786D">
        <w:rPr>
          <w:vertAlign w:val="superscript"/>
        </w:rPr>
        <w:t>-1</w:t>
      </w:r>
      <w:r w:rsidRPr="0099786D">
        <w:t xml:space="preserve"> TG und 524 KBE g</w:t>
      </w:r>
      <w:r w:rsidRPr="0099786D">
        <w:rPr>
          <w:vertAlign w:val="superscript"/>
        </w:rPr>
        <w:t>-1</w:t>
      </w:r>
      <w:r w:rsidRPr="0099786D">
        <w:t xml:space="preserve"> TG), </w:t>
      </w:r>
      <w:r w:rsidRPr="009426F2">
        <w:t>konnte</w:t>
      </w:r>
      <w:r w:rsidRPr="0099786D">
        <w:t xml:space="preserve"> mit großer Sicherheit auf eine inhomogene </w:t>
      </w:r>
      <w:r w:rsidRPr="0099786D">
        <w:rPr>
          <w:i/>
        </w:rPr>
        <w:t>Metarhizium</w:t>
      </w:r>
      <w:r w:rsidRPr="0099786D">
        <w:t>-Verteilung geschlossen werden. Durch die dreimalige Applikation von GranMet</w:t>
      </w:r>
      <w:r w:rsidRPr="0099786D">
        <w:rPr>
          <w:vertAlign w:val="superscript"/>
        </w:rPr>
        <w:t>TM</w:t>
      </w:r>
      <w:r w:rsidRPr="0099786D">
        <w:t xml:space="preserve"> wurde im Burgenfeld eine stabile </w:t>
      </w:r>
      <w:r w:rsidRPr="0099786D">
        <w:rPr>
          <w:i/>
        </w:rPr>
        <w:t>Metarhizium</w:t>
      </w:r>
      <w:r w:rsidRPr="0099786D">
        <w:t xml:space="preserve"> Pilzdichte von bis zu 5.000 KBE g</w:t>
      </w:r>
      <w:r w:rsidRPr="0099786D">
        <w:rPr>
          <w:vertAlign w:val="superscript"/>
        </w:rPr>
        <w:t>-1</w:t>
      </w:r>
      <w:r w:rsidRPr="0099786D">
        <w:t xml:space="preserve"> TG aufgebaut. In Kramat konnte sogar eine </w:t>
      </w:r>
      <w:r w:rsidRPr="0099786D">
        <w:rPr>
          <w:i/>
        </w:rPr>
        <w:t>Metarhizium</w:t>
      </w:r>
      <w:r w:rsidRPr="0099786D">
        <w:t>-Dichte von 20.0325 KBE g</w:t>
      </w:r>
      <w:r w:rsidRPr="0099786D">
        <w:rPr>
          <w:vertAlign w:val="superscript"/>
        </w:rPr>
        <w:t>-1</w:t>
      </w:r>
      <w:r w:rsidRPr="0099786D">
        <w:t xml:space="preserve"> TG im September 2018 bestimmt werden. Ob die höhere Pilz-Abundanz mit dem Aufkommen von </w:t>
      </w:r>
      <w:r w:rsidRPr="0099786D">
        <w:rPr>
          <w:i/>
        </w:rPr>
        <w:t>Diabrotioca</w:t>
      </w:r>
      <w:r w:rsidRPr="0099786D">
        <w:t xml:space="preserve"> einherging, konnte nicht direkt nachgewiesen werden.</w:t>
      </w:r>
    </w:p>
    <w:p w:rsidR="009E0391" w:rsidRPr="0099786D" w:rsidRDefault="009E0391" w:rsidP="009E0391">
      <w:pPr>
        <w:spacing w:before="120"/>
        <w:jc w:val="both"/>
        <w:rPr>
          <w:rFonts w:ascii="Arial" w:eastAsia="Times New Roman" w:hAnsi="Arial" w:cs="Arial"/>
          <w:sz w:val="22"/>
          <w:szCs w:val="22"/>
          <w:lang w:val="de-DE" w:eastAsia="de-AT"/>
        </w:rPr>
      </w:pPr>
    </w:p>
    <w:p w:rsidR="009E0391" w:rsidRPr="0099786D" w:rsidRDefault="009E0391" w:rsidP="009E0391">
      <w:pPr>
        <w:rPr>
          <w:rFonts w:ascii="Arial" w:eastAsia="Times New Roman" w:hAnsi="Arial" w:cs="Arial"/>
          <w:sz w:val="22"/>
          <w:szCs w:val="22"/>
          <w:lang w:val="de-DE" w:eastAsia="de-AT"/>
        </w:rPr>
      </w:pPr>
      <w:r w:rsidRPr="0099786D">
        <w:rPr>
          <w:rFonts w:ascii="Arial" w:eastAsia="Times New Roman" w:hAnsi="Arial" w:cs="Arial"/>
          <w:noProof/>
          <w:sz w:val="22"/>
          <w:szCs w:val="22"/>
          <w:lang w:eastAsia="de-AT"/>
        </w:rPr>
        <w:drawing>
          <wp:inline distT="0" distB="0" distL="0" distR="0" wp14:anchorId="1D9DCD86" wp14:editId="49E25BE8">
            <wp:extent cx="5810250" cy="4438650"/>
            <wp:effectExtent l="0" t="0" r="0" b="0"/>
            <wp:docPr id="9261" name="Grafik 9261" descr="Tirol_16-16_Abunda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irol_16-16_Abundanz"/>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5810250" cy="4438650"/>
                    </a:xfrm>
                    <a:prstGeom prst="rect">
                      <a:avLst/>
                    </a:prstGeom>
                    <a:noFill/>
                    <a:ln>
                      <a:noFill/>
                    </a:ln>
                  </pic:spPr>
                </pic:pic>
              </a:graphicData>
            </a:graphic>
          </wp:inline>
        </w:drawing>
      </w:r>
    </w:p>
    <w:p w:rsidR="009E0391" w:rsidRPr="0099786D" w:rsidRDefault="009E0391" w:rsidP="009E0391">
      <w:pPr>
        <w:rPr>
          <w:rFonts w:ascii="Arial" w:eastAsia="Times New Roman" w:hAnsi="Arial" w:cs="Arial"/>
          <w:sz w:val="22"/>
          <w:szCs w:val="22"/>
          <w:lang w:val="de-DE" w:eastAsia="de-AT"/>
        </w:rPr>
      </w:pPr>
    </w:p>
    <w:p w:rsidR="009E0391" w:rsidRPr="0099786D" w:rsidRDefault="009E0391" w:rsidP="00055400">
      <w:pPr>
        <w:pStyle w:val="Beschriftung"/>
        <w:jc w:val="both"/>
      </w:pPr>
      <w:bookmarkStart w:id="64" w:name="_Toc532311590"/>
      <w:bookmarkStart w:id="65" w:name="_Toc7715401"/>
      <w:r>
        <w:t xml:space="preserve">Abbildung </w:t>
      </w:r>
      <w:fldSimple w:instr=" SEQ Abbildung \* ARABIC ">
        <w:r w:rsidR="00055400">
          <w:rPr>
            <w:noProof/>
          </w:rPr>
          <w:t>10</w:t>
        </w:r>
      </w:fldSimple>
      <w:r>
        <w:t>:</w:t>
      </w:r>
      <w:r w:rsidRPr="0099786D">
        <w:t xml:space="preserve"> Metarhizium spp. Abundanz, vor und nach der GranMet</w:t>
      </w:r>
      <w:r w:rsidRPr="0099786D">
        <w:rPr>
          <w:vertAlign w:val="superscript"/>
        </w:rPr>
        <w:t>TM</w:t>
      </w:r>
      <w:r w:rsidRPr="0099786D">
        <w:t>-Applikation (50 kg ha</w:t>
      </w:r>
      <w:r w:rsidRPr="0099786D">
        <w:rPr>
          <w:vertAlign w:val="superscript"/>
        </w:rPr>
        <w:t>-1</w:t>
      </w:r>
      <w:r w:rsidRPr="0099786D">
        <w:t xml:space="preserve"> und Jahr Pilzgerste) in den Versuchsstandorten Burgenfeld und Kramat, sowie in der unbehandelten Kontrollfläche in St. Johan</w:t>
      </w:r>
      <w:r w:rsidR="009426F2">
        <w:t xml:space="preserve">n in Tirol / Oberndorf (KBE: </w:t>
      </w:r>
      <w:r w:rsidRPr="0099786D">
        <w:t>Koloniebildende Einheit). (1) Die grau unterlegte Fläche symbolisiert die natürliche Metarhizium Pilz-Dichte im Maisacker. (2) Die 5.000 KBE g</w:t>
      </w:r>
      <w:r w:rsidRPr="0099786D">
        <w:rPr>
          <w:vertAlign w:val="superscript"/>
        </w:rPr>
        <w:t>-1</w:t>
      </w:r>
      <w:r w:rsidRPr="0099786D">
        <w:t>- TG Linie symbolisiert jene Metarhizium Dichte im Maisacker, welche nach einer dreimaligen Applikation des GranMet</w:t>
      </w:r>
      <w:r w:rsidRPr="0099786D">
        <w:rPr>
          <w:vertAlign w:val="superscript"/>
        </w:rPr>
        <w:t>TM</w:t>
      </w:r>
      <w:r w:rsidRPr="0099786D">
        <w:t xml:space="preserve"> –Produktes wunschgemäß erreicht werden sollte (d.h. postulierte Dichte für Wirkungssicherheit).</w:t>
      </w:r>
      <w:bookmarkEnd w:id="64"/>
      <w:bookmarkEnd w:id="65"/>
    </w:p>
    <w:p w:rsidR="009E0391" w:rsidRPr="0099786D" w:rsidRDefault="009E0391" w:rsidP="009E0391">
      <w:pPr>
        <w:pStyle w:val="12Unterkapitel"/>
      </w:pPr>
      <w:bookmarkStart w:id="66" w:name="_Toc532311638"/>
      <w:bookmarkStart w:id="67" w:name="_Toc7715569"/>
      <w:r>
        <w:t>K</w:t>
      </w:r>
      <w:r w:rsidRPr="0099786D">
        <w:t xml:space="preserve">äfermonitoring </w:t>
      </w:r>
      <w:r>
        <w:t>mit zwei Fallensystemen (2</w:t>
      </w:r>
      <w:r w:rsidRPr="0099786D">
        <w:t>016, 2017 UND 2018)</w:t>
      </w:r>
      <w:bookmarkEnd w:id="66"/>
      <w:bookmarkEnd w:id="67"/>
    </w:p>
    <w:p w:rsidR="009E0391" w:rsidRPr="0099786D" w:rsidRDefault="009E0391" w:rsidP="00055400">
      <w:pPr>
        <w:spacing w:before="270" w:line="270" w:lineRule="exact"/>
        <w:jc w:val="both"/>
        <w:rPr>
          <w:rFonts w:eastAsia="Times New Roman"/>
          <w:color w:val="000000"/>
        </w:rPr>
      </w:pPr>
      <w:r w:rsidRPr="0099786D">
        <w:rPr>
          <w:rFonts w:eastAsia="Times New Roman"/>
          <w:color w:val="000000"/>
        </w:rPr>
        <w:t xml:space="preserve">Die Langzeitstudie wurde im Frühjahr 2016 begonnen, zu einem Zeitpunkt wo mit Sicherheit behauptet werden konnte, dass der Maiswurzelbohrer tatsächlich in der Region St. Johann und Oberndorf angekommen war (siehe Monitoring-Ergebnisse des Landes Tirol, Gruppe Agrar). Im heurigen Jahr (bis 27. September 2018) konnten bis zu 1.970 Käfer mit Hilfe der </w:t>
      </w:r>
      <w:r>
        <w:rPr>
          <w:rFonts w:eastAsia="Times New Roman"/>
          <w:color w:val="000000"/>
        </w:rPr>
        <w:t xml:space="preserve">neun </w:t>
      </w:r>
      <w:r w:rsidRPr="0099786D">
        <w:rPr>
          <w:rFonts w:eastAsia="Times New Roman"/>
          <w:color w:val="000000"/>
        </w:rPr>
        <w:t>PAL Klebefal</w:t>
      </w:r>
      <w:r>
        <w:rPr>
          <w:rFonts w:eastAsia="Times New Roman"/>
          <w:color w:val="000000"/>
        </w:rPr>
        <w:t>le gefangen werden</w:t>
      </w:r>
      <w:r w:rsidRPr="0099786D">
        <w:rPr>
          <w:rFonts w:eastAsia="Times New Roman"/>
          <w:color w:val="000000"/>
        </w:rPr>
        <w:t xml:space="preserve">. Im Sommer 2017 konnten erstmals mit Hilfe der Schlupfkäfige (n=90) die ersten adulten </w:t>
      </w:r>
      <w:r w:rsidRPr="0099786D">
        <w:rPr>
          <w:rFonts w:eastAsia="Times New Roman"/>
          <w:i/>
          <w:color w:val="000000"/>
        </w:rPr>
        <w:t>Diabrotica</w:t>
      </w:r>
      <w:r w:rsidRPr="0099786D">
        <w:rPr>
          <w:rFonts w:eastAsia="Times New Roman"/>
          <w:color w:val="000000"/>
        </w:rPr>
        <w:t xml:space="preserve"> Käfer gefangen werden. Die </w:t>
      </w:r>
      <w:r w:rsidRPr="0099786D">
        <w:rPr>
          <w:rFonts w:eastAsia="Times New Roman"/>
          <w:i/>
          <w:color w:val="000000"/>
        </w:rPr>
        <w:t>Diabrotica</w:t>
      </w:r>
      <w:r>
        <w:rPr>
          <w:rFonts w:eastAsia="Times New Roman"/>
          <w:i/>
          <w:color w:val="000000"/>
        </w:rPr>
        <w:t>-</w:t>
      </w:r>
      <w:r w:rsidRPr="0099786D">
        <w:rPr>
          <w:rFonts w:eastAsia="Times New Roman"/>
          <w:color w:val="000000"/>
        </w:rPr>
        <w:t xml:space="preserve">Population </w:t>
      </w:r>
      <w:r w:rsidRPr="001D3CB3">
        <w:rPr>
          <w:rFonts w:eastAsia="Times New Roman"/>
          <w:color w:val="000000"/>
        </w:rPr>
        <w:t xml:space="preserve">hatte sich von 2016 auf 2017 in der Region St. Johann in Tirol verdreifacht. In der Pflanzsaison 2018 konnten nur mehr geringfügig mehr Käfer auf den Klebefallen bestimmt werden (um 2.000 Käfer pro Falle, Abbildung </w:t>
      </w:r>
      <w:r w:rsidR="009426F2" w:rsidRPr="001D3CB3">
        <w:rPr>
          <w:rFonts w:eastAsia="Times New Roman"/>
          <w:color w:val="000000"/>
        </w:rPr>
        <w:t>11</w:t>
      </w:r>
      <w:r w:rsidRPr="001D3CB3">
        <w:rPr>
          <w:rFonts w:eastAsia="Times New Roman"/>
          <w:color w:val="000000"/>
        </w:rPr>
        <w:t>).</w:t>
      </w:r>
      <w:r w:rsidRPr="0099786D">
        <w:rPr>
          <w:rFonts w:eastAsia="Times New Roman"/>
          <w:color w:val="000000"/>
        </w:rPr>
        <w:t xml:space="preserve"> Trotz dieser erfreulichen Entwicklung muss man die Befallszahlen mit Vorsicht interpretieren. Im Jahr 2008 waren in Altneudörfl (Steiermark) 2.421 Käfer gefangen worden und ein Jahr später wurden die ersten wirklichen </w:t>
      </w:r>
      <w:r w:rsidRPr="0099786D">
        <w:rPr>
          <w:rFonts w:eastAsia="Times New Roman"/>
          <w:i/>
          <w:color w:val="000000"/>
        </w:rPr>
        <w:t xml:space="preserve">Diabrotica </w:t>
      </w:r>
      <w:r w:rsidRPr="0099786D">
        <w:rPr>
          <w:rFonts w:eastAsia="Times New Roman"/>
          <w:color w:val="000000"/>
        </w:rPr>
        <w:t>Schäden aus dieser Region - Südost-Steiermark - gemeldet.</w:t>
      </w:r>
    </w:p>
    <w:p w:rsidR="009E0391" w:rsidRPr="0099786D" w:rsidRDefault="009E0391" w:rsidP="00055400">
      <w:pPr>
        <w:spacing w:before="270" w:line="270" w:lineRule="exact"/>
        <w:jc w:val="both"/>
        <w:rPr>
          <w:rFonts w:eastAsia="Times New Roman"/>
          <w:color w:val="000000"/>
        </w:rPr>
      </w:pPr>
      <w:r w:rsidRPr="0099786D">
        <w:rPr>
          <w:rFonts w:eastAsia="Times New Roman"/>
          <w:color w:val="000000"/>
        </w:rPr>
        <w:t>Grundsätzlich kann für Tirol zurzeit festgehalten we</w:t>
      </w:r>
      <w:r>
        <w:rPr>
          <w:rFonts w:eastAsia="Times New Roman"/>
          <w:color w:val="000000"/>
        </w:rPr>
        <w:t>rden, dass der Maiswurzelbohrerp</w:t>
      </w:r>
      <w:r w:rsidRPr="0099786D">
        <w:rPr>
          <w:rFonts w:eastAsia="Times New Roman"/>
          <w:color w:val="000000"/>
        </w:rPr>
        <w:t>opulationsdruck stagniert bzw. im Tiroler Unterland nur geringfügig zugenommen hat (siehe Strass im Zillertal bzw. Mils bei Hall auf der Homepage: https://warndienst.lko.at/diabrotica+2500+++6631). Eine höchst signifikante Käferzunahme konnte für die Standorte St. Johann in Tirol, Oberndorf und Wörgl über die drei Beobachtungszeiträume festgestellt werden (Pearson R</w:t>
      </w:r>
      <w:r w:rsidRPr="0099786D">
        <w:rPr>
          <w:rFonts w:eastAsia="Times New Roman"/>
          <w:color w:val="000000"/>
          <w:vertAlign w:val="superscript"/>
        </w:rPr>
        <w:t>2</w:t>
      </w:r>
      <w:r w:rsidRPr="0099786D">
        <w:rPr>
          <w:rFonts w:eastAsia="Times New Roman"/>
          <w:color w:val="000000"/>
        </w:rPr>
        <w:t>=0,128; p &lt; 0,01). In Niko</w:t>
      </w:r>
      <w:r w:rsidR="00055400">
        <w:rPr>
          <w:rFonts w:eastAsia="Times New Roman"/>
          <w:color w:val="000000"/>
        </w:rPr>
        <w:t>lsdorf konnte eine mehr als 70 p</w:t>
      </w:r>
      <w:r w:rsidRPr="0099786D">
        <w:rPr>
          <w:rFonts w:eastAsia="Times New Roman"/>
          <w:color w:val="000000"/>
        </w:rPr>
        <w:t>rozentige Abnahme der Käferdichte nachgewiesen werden. So wurden heuer nur mehr 55 Käfer am Standort mit der PAL Falle gefangen, 2017 waren es noch 216 Käfer.</w:t>
      </w:r>
    </w:p>
    <w:p w:rsidR="009E0391" w:rsidRPr="0099786D" w:rsidRDefault="009E0391" w:rsidP="009E0391">
      <w:pPr>
        <w:jc w:val="both"/>
        <w:rPr>
          <w:rFonts w:ascii="Arial" w:eastAsia="Times New Roman" w:hAnsi="Arial" w:cs="Arial"/>
          <w:sz w:val="22"/>
          <w:szCs w:val="22"/>
          <w:lang w:val="de-DE" w:eastAsia="de-AT"/>
        </w:rPr>
      </w:pPr>
    </w:p>
    <w:p w:rsidR="009E0391" w:rsidRPr="0099786D" w:rsidRDefault="009E0391" w:rsidP="009E0391">
      <w:pPr>
        <w:autoSpaceDE w:val="0"/>
        <w:autoSpaceDN w:val="0"/>
        <w:adjustRightInd w:val="0"/>
        <w:rPr>
          <w:rFonts w:eastAsia="Times New Roman"/>
          <w:sz w:val="24"/>
          <w:szCs w:val="24"/>
          <w:lang w:eastAsia="de-AT"/>
        </w:rPr>
      </w:pPr>
      <w:r w:rsidRPr="0099786D">
        <w:rPr>
          <w:rFonts w:eastAsia="Times New Roman"/>
          <w:noProof/>
          <w:sz w:val="24"/>
          <w:szCs w:val="24"/>
          <w:lang w:eastAsia="de-AT"/>
        </w:rPr>
        <w:drawing>
          <wp:inline distT="0" distB="0" distL="0" distR="0" wp14:anchorId="0BEC9F0A" wp14:editId="0F9DE840">
            <wp:extent cx="5572125" cy="4457700"/>
            <wp:effectExtent l="0" t="0" r="9525" b="0"/>
            <wp:docPr id="9262" name="Grafik 9262" title="Käferfäng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5572125" cy="4457700"/>
                    </a:xfrm>
                    <a:prstGeom prst="rect">
                      <a:avLst/>
                    </a:prstGeom>
                    <a:noFill/>
                    <a:ln>
                      <a:noFill/>
                    </a:ln>
                  </pic:spPr>
                </pic:pic>
              </a:graphicData>
            </a:graphic>
          </wp:inline>
        </w:drawing>
      </w:r>
    </w:p>
    <w:p w:rsidR="009E0391" w:rsidRPr="0099786D" w:rsidRDefault="009E0391" w:rsidP="009E0391">
      <w:pPr>
        <w:autoSpaceDE w:val="0"/>
        <w:autoSpaceDN w:val="0"/>
        <w:adjustRightInd w:val="0"/>
        <w:rPr>
          <w:rFonts w:eastAsia="Times New Roman"/>
          <w:sz w:val="24"/>
          <w:szCs w:val="24"/>
          <w:lang w:eastAsia="de-AT"/>
        </w:rPr>
      </w:pPr>
    </w:p>
    <w:p w:rsidR="009E0391" w:rsidRPr="0099786D" w:rsidRDefault="009E0391" w:rsidP="009E0391">
      <w:pPr>
        <w:pStyle w:val="Beschriftung"/>
      </w:pPr>
      <w:bookmarkStart w:id="68" w:name="_Toc532311591"/>
      <w:bookmarkStart w:id="69" w:name="_Toc7715402"/>
      <w:r>
        <w:t xml:space="preserve">Abbildung </w:t>
      </w:r>
      <w:fldSimple w:instr=" SEQ Abbildung \* ARABIC ">
        <w:r w:rsidR="00055400">
          <w:rPr>
            <w:noProof/>
          </w:rPr>
          <w:t>11</w:t>
        </w:r>
      </w:fldSimple>
      <w:r>
        <w:t>:</w:t>
      </w:r>
      <w:r w:rsidRPr="0099786D">
        <w:t xml:space="preserve"> Maximale Diabrotica virgifera Käferfänge in Tirol mit einem PAL Pheromon-Klebefalle System (CSALOMON</w:t>
      </w:r>
      <w:r w:rsidRPr="0099786D">
        <w:rPr>
          <w:vertAlign w:val="superscript"/>
        </w:rPr>
        <w:t>TM</w:t>
      </w:r>
      <w:r w:rsidRPr="0099786D">
        <w:t>, 1525 Budapest, Hungary), durchgeführt über die drei Pflanzsaisonen 2016 bis 2018, in den Kalenderwochen 27 bis 39.</w:t>
      </w:r>
      <w:bookmarkEnd w:id="68"/>
      <w:bookmarkEnd w:id="69"/>
    </w:p>
    <w:p w:rsidR="009E0391" w:rsidRPr="0099786D" w:rsidRDefault="009E0391" w:rsidP="009E0391">
      <w:pPr>
        <w:pStyle w:val="1Unterkapitel"/>
      </w:pPr>
      <w:bookmarkStart w:id="70" w:name="_Toc532311639"/>
      <w:bookmarkStart w:id="71" w:name="_Toc7715570"/>
      <w:r w:rsidRPr="0099786D">
        <w:t xml:space="preserve">Genotypisierung der </w:t>
      </w:r>
      <w:r w:rsidRPr="0099786D">
        <w:rPr>
          <w:i/>
        </w:rPr>
        <w:t>Metarhizium</w:t>
      </w:r>
      <w:r w:rsidRPr="0099786D">
        <w:t xml:space="preserve"> Rückisolate</w:t>
      </w:r>
      <w:bookmarkEnd w:id="70"/>
      <w:bookmarkEnd w:id="71"/>
    </w:p>
    <w:p w:rsidR="009E0391" w:rsidRPr="001D3CB3" w:rsidRDefault="009E0391" w:rsidP="00055400">
      <w:pPr>
        <w:pStyle w:val="Flietext"/>
        <w:jc w:val="both"/>
      </w:pPr>
      <w:r w:rsidRPr="0099786D">
        <w:t>In allen GranMet</w:t>
      </w:r>
      <w:r w:rsidRPr="0099786D">
        <w:rPr>
          <w:vertAlign w:val="superscript"/>
        </w:rPr>
        <w:t>TM</w:t>
      </w:r>
      <w:r w:rsidRPr="0099786D">
        <w:t xml:space="preserve"> Behandlungsflächen, sowohl in der Steiermark als auch in Tirol, konnte der Produktionsstamm </w:t>
      </w:r>
      <w:r w:rsidRPr="0099786D">
        <w:rPr>
          <w:i/>
        </w:rPr>
        <w:t xml:space="preserve">Metarhizium </w:t>
      </w:r>
      <w:r w:rsidRPr="001D3CB3">
        <w:rPr>
          <w:i/>
        </w:rPr>
        <w:t>brunneum</w:t>
      </w:r>
      <w:r w:rsidRPr="001D3CB3">
        <w:t xml:space="preserve"> BIPESCO 5 mit Hilfe der SSR-PCR Analyse als dominierender </w:t>
      </w:r>
      <w:r w:rsidRPr="001D3CB3">
        <w:rPr>
          <w:i/>
        </w:rPr>
        <w:t>Metarhizium</w:t>
      </w:r>
      <w:r w:rsidRPr="001D3CB3">
        <w:t xml:space="preserve"> Genotyp nachgewiesen werden (Abbildung </w:t>
      </w:r>
      <w:r w:rsidR="00055400" w:rsidRPr="001D3CB3">
        <w:t>12</w:t>
      </w:r>
      <w:r w:rsidRPr="001D3CB3">
        <w:t xml:space="preserve">, Tabelle </w:t>
      </w:r>
      <w:r w:rsidR="00055400" w:rsidRPr="001D3CB3">
        <w:t>3</w:t>
      </w:r>
      <w:r w:rsidRPr="001D3CB3">
        <w:t xml:space="preserve">). </w:t>
      </w:r>
    </w:p>
    <w:p w:rsidR="009E0391" w:rsidRPr="001D3CB3" w:rsidRDefault="009E0391" w:rsidP="00055400">
      <w:pPr>
        <w:spacing w:before="270" w:line="276" w:lineRule="auto"/>
        <w:jc w:val="both"/>
        <w:rPr>
          <w:rFonts w:eastAsia="Times New Roman"/>
          <w:color w:val="000000"/>
        </w:rPr>
      </w:pPr>
      <w:r w:rsidRPr="001D3CB3">
        <w:rPr>
          <w:rFonts w:eastAsia="Times New Roman"/>
          <w:color w:val="000000"/>
        </w:rPr>
        <w:t>Bezüglich der GranMet</w:t>
      </w:r>
      <w:r w:rsidRPr="001D3CB3">
        <w:rPr>
          <w:rFonts w:eastAsia="Times New Roman"/>
          <w:color w:val="000000"/>
          <w:vertAlign w:val="superscript"/>
        </w:rPr>
        <w:t>TM</w:t>
      </w:r>
      <w:r w:rsidRPr="001D3CB3">
        <w:rPr>
          <w:rFonts w:eastAsia="Times New Roman"/>
          <w:color w:val="000000"/>
        </w:rPr>
        <w:t xml:space="preserve"> Applikation und der Wiederfindung des Produktionstammes BIPESCO 5 in den Behandlungsflächen, konnte mit Ausnahme von Laafeld, für alle übrigen Standorte eine höchst signifikante Korrelation ermittelt werden [Spearman – Rho Analyse: Laafeld (r= 0.99725; p&lt; 0.001), Dietzen (r= 0.82723; p= 0.022) und Kramat (r= 0.89224; p= 0.017); Tabelle </w:t>
      </w:r>
      <w:r w:rsidR="00055400" w:rsidRPr="001D3CB3">
        <w:rPr>
          <w:rFonts w:eastAsia="Times New Roman"/>
          <w:color w:val="000000"/>
        </w:rPr>
        <w:t>4</w:t>
      </w:r>
      <w:r w:rsidRPr="001D3CB3">
        <w:rPr>
          <w:rFonts w:eastAsia="Times New Roman"/>
          <w:color w:val="000000"/>
        </w:rPr>
        <w:t>].</w:t>
      </w:r>
    </w:p>
    <w:p w:rsidR="009E0391" w:rsidRDefault="009E0391" w:rsidP="0042516F">
      <w:pPr>
        <w:spacing w:before="270" w:line="276" w:lineRule="auto"/>
        <w:jc w:val="both"/>
        <w:rPr>
          <w:rFonts w:eastAsia="Times New Roman"/>
          <w:color w:val="000000"/>
        </w:rPr>
      </w:pPr>
      <w:r w:rsidRPr="001D3CB3">
        <w:rPr>
          <w:rFonts w:eastAsia="Times New Roman"/>
          <w:color w:val="000000"/>
        </w:rPr>
        <w:t>Dem Versuchsstandort Laafeld muss eine Sonderstellung zugesprochen</w:t>
      </w:r>
      <w:r w:rsidRPr="0099786D">
        <w:rPr>
          <w:rFonts w:eastAsia="Times New Roman"/>
          <w:color w:val="000000"/>
        </w:rPr>
        <w:t xml:space="preserve"> werden, da durch den durchgeführten Fruchtwechsel im Jahr 2015, sowie im Jahr 2017, die </w:t>
      </w:r>
      <w:r w:rsidRPr="0099786D">
        <w:rPr>
          <w:rFonts w:eastAsia="Times New Roman"/>
          <w:i/>
          <w:color w:val="000000"/>
        </w:rPr>
        <w:t>Diabrotica</w:t>
      </w:r>
      <w:r>
        <w:rPr>
          <w:rFonts w:eastAsia="Times New Roman"/>
          <w:i/>
          <w:color w:val="000000"/>
        </w:rPr>
        <w:t>-</w:t>
      </w:r>
      <w:r w:rsidRPr="0099786D">
        <w:rPr>
          <w:rFonts w:eastAsia="Times New Roman"/>
          <w:color w:val="000000"/>
        </w:rPr>
        <w:t xml:space="preserve">Population durch diese Maßnahme stark reduziert wurde. Durch die geringe </w:t>
      </w:r>
      <w:r w:rsidRPr="0099786D">
        <w:rPr>
          <w:rFonts w:eastAsia="Times New Roman"/>
          <w:i/>
          <w:color w:val="000000"/>
        </w:rPr>
        <w:t>Diabrotica</w:t>
      </w:r>
      <w:r w:rsidRPr="0099786D">
        <w:rPr>
          <w:rFonts w:eastAsia="Times New Roman"/>
          <w:color w:val="000000"/>
        </w:rPr>
        <w:t>-Abundanz (&gt; 20 pro m</w:t>
      </w:r>
      <w:r w:rsidRPr="0099786D">
        <w:rPr>
          <w:rFonts w:eastAsia="Times New Roman"/>
          <w:color w:val="000000"/>
          <w:vertAlign w:val="superscript"/>
        </w:rPr>
        <w:t>2</w:t>
      </w:r>
      <w:r w:rsidRPr="0099786D">
        <w:rPr>
          <w:rFonts w:eastAsia="Times New Roman"/>
          <w:color w:val="000000"/>
        </w:rPr>
        <w:t xml:space="preserve">) am Standort ist es sehr wahrscheinlich, dass sich auch der Produktionsstamm BIPESCO 5 nur bedingt etablieren konnte (siehe </w:t>
      </w:r>
      <w:r w:rsidRPr="001D3CB3">
        <w:rPr>
          <w:rFonts w:eastAsia="Times New Roman"/>
          <w:color w:val="000000"/>
        </w:rPr>
        <w:t xml:space="preserve">auch Abbildung </w:t>
      </w:r>
      <w:r w:rsidR="0042516F" w:rsidRPr="001D3CB3">
        <w:rPr>
          <w:rFonts w:eastAsia="Times New Roman"/>
          <w:color w:val="000000"/>
        </w:rPr>
        <w:t>7</w:t>
      </w:r>
      <w:r w:rsidRPr="001D3CB3">
        <w:rPr>
          <w:rFonts w:eastAsia="Times New Roman"/>
          <w:color w:val="000000"/>
        </w:rPr>
        <w:t xml:space="preserve">). Neben dem Entomopathogen </w:t>
      </w:r>
      <w:r w:rsidRPr="001D3CB3">
        <w:rPr>
          <w:rFonts w:eastAsia="Times New Roman"/>
          <w:i/>
          <w:color w:val="000000"/>
        </w:rPr>
        <w:t>M. brunneum</w:t>
      </w:r>
      <w:r w:rsidRPr="001D3CB3">
        <w:rPr>
          <w:rFonts w:eastAsia="Times New Roman"/>
          <w:color w:val="000000"/>
        </w:rPr>
        <w:t xml:space="preserve"> (≥ 50 Prozent) können auch die Arten </w:t>
      </w:r>
      <w:r w:rsidRPr="001D3CB3">
        <w:rPr>
          <w:rFonts w:eastAsia="Times New Roman"/>
          <w:i/>
          <w:color w:val="000000"/>
        </w:rPr>
        <w:t>M. robertsii</w:t>
      </w:r>
      <w:r w:rsidRPr="001D3CB3">
        <w:rPr>
          <w:rFonts w:eastAsia="Times New Roman"/>
          <w:color w:val="000000"/>
        </w:rPr>
        <w:t xml:space="preserve"> und </w:t>
      </w:r>
      <w:r w:rsidRPr="001D3CB3">
        <w:rPr>
          <w:rFonts w:eastAsia="Times New Roman"/>
          <w:i/>
          <w:color w:val="000000"/>
        </w:rPr>
        <w:t>M.</w:t>
      </w:r>
      <w:r w:rsidRPr="001D3CB3">
        <w:rPr>
          <w:rFonts w:eastAsia="Times New Roman"/>
          <w:color w:val="000000"/>
        </w:rPr>
        <w:t xml:space="preserve"> </w:t>
      </w:r>
      <w:r w:rsidRPr="001D3CB3">
        <w:rPr>
          <w:rFonts w:eastAsia="Times New Roman"/>
          <w:i/>
          <w:color w:val="000000"/>
        </w:rPr>
        <w:t>lepidiotae</w:t>
      </w:r>
      <w:r w:rsidRPr="001D3CB3">
        <w:rPr>
          <w:rFonts w:eastAsia="Times New Roman"/>
          <w:color w:val="000000"/>
        </w:rPr>
        <w:t xml:space="preserve"> besonders häufig in der Steiermark isoliert werden (Tabelle </w:t>
      </w:r>
      <w:r w:rsidR="0042516F" w:rsidRPr="001D3CB3">
        <w:rPr>
          <w:rFonts w:eastAsia="Times New Roman"/>
          <w:color w:val="000000"/>
        </w:rPr>
        <w:t>4</w:t>
      </w:r>
      <w:r w:rsidRPr="001D3CB3">
        <w:rPr>
          <w:rFonts w:eastAsia="Times New Roman"/>
          <w:color w:val="000000"/>
        </w:rPr>
        <w:t xml:space="preserve">). Welche Bedeutung diese indigenen </w:t>
      </w:r>
      <w:r w:rsidRPr="001D3CB3">
        <w:rPr>
          <w:rFonts w:eastAsia="Times New Roman"/>
          <w:i/>
          <w:color w:val="000000"/>
        </w:rPr>
        <w:t xml:space="preserve">Metarhizium </w:t>
      </w:r>
      <w:r w:rsidRPr="001D3CB3">
        <w:rPr>
          <w:rFonts w:eastAsia="Times New Roman"/>
          <w:color w:val="000000"/>
        </w:rPr>
        <w:t>Arten in</w:t>
      </w:r>
      <w:r w:rsidRPr="0099786D">
        <w:rPr>
          <w:rFonts w:eastAsia="Times New Roman"/>
          <w:color w:val="000000"/>
        </w:rPr>
        <w:t xml:space="preserve"> der Populationsregulierung von </w:t>
      </w:r>
      <w:r w:rsidRPr="0099786D">
        <w:rPr>
          <w:rFonts w:eastAsia="Times New Roman"/>
          <w:i/>
          <w:color w:val="000000"/>
        </w:rPr>
        <w:t>Diabrotica</w:t>
      </w:r>
      <w:r w:rsidRPr="0099786D">
        <w:rPr>
          <w:rFonts w:eastAsia="Times New Roman"/>
          <w:color w:val="000000"/>
        </w:rPr>
        <w:t xml:space="preserve"> haben, war nicht Gegenstand unserer Untersuchung. Biotest-Untersuchungen mit beiden Genotypen zeigten jedoch, dass eine hohe Virulenz gegenüber </w:t>
      </w:r>
      <w:r w:rsidRPr="0099786D">
        <w:rPr>
          <w:rFonts w:eastAsia="Times New Roman"/>
          <w:i/>
          <w:color w:val="000000"/>
        </w:rPr>
        <w:t>Tenebrio molitor</w:t>
      </w:r>
      <w:r w:rsidRPr="0099786D">
        <w:rPr>
          <w:rFonts w:eastAsia="Times New Roman"/>
          <w:color w:val="000000"/>
        </w:rPr>
        <w:t xml:space="preserve"> und </w:t>
      </w:r>
      <w:r w:rsidRPr="0099786D">
        <w:rPr>
          <w:rFonts w:eastAsia="Times New Roman"/>
          <w:i/>
          <w:color w:val="000000"/>
        </w:rPr>
        <w:t>Galleria mellonella</w:t>
      </w:r>
      <w:r w:rsidRPr="0099786D">
        <w:rPr>
          <w:rFonts w:eastAsia="Times New Roman"/>
          <w:color w:val="000000"/>
        </w:rPr>
        <w:t xml:space="preserve"> nachgewiesen werden konnte (Protokolle nicht publiziert), und somit auch ein Wirkungspotential gegenüber </w:t>
      </w:r>
      <w:r w:rsidRPr="0099786D">
        <w:rPr>
          <w:rFonts w:eastAsia="Times New Roman"/>
          <w:i/>
          <w:color w:val="000000"/>
        </w:rPr>
        <w:t xml:space="preserve">Diabotica </w:t>
      </w:r>
      <w:r w:rsidRPr="0099786D">
        <w:rPr>
          <w:rFonts w:eastAsia="Times New Roman"/>
          <w:color w:val="000000"/>
        </w:rPr>
        <w:t>nicht ausgeschlossen werden kann.</w:t>
      </w:r>
    </w:p>
    <w:p w:rsidR="008722B6" w:rsidRPr="0099786D" w:rsidRDefault="008722B6" w:rsidP="0042516F">
      <w:pPr>
        <w:spacing w:before="270" w:line="276" w:lineRule="auto"/>
        <w:jc w:val="both"/>
        <w:rPr>
          <w:rFonts w:eastAsia="Times New Roman"/>
          <w:color w:val="000000"/>
        </w:rPr>
      </w:pPr>
      <w:r>
        <w:rPr>
          <w:noProof/>
          <w:lang w:eastAsia="de-AT"/>
        </w:rPr>
        <w:drawing>
          <wp:inline distT="0" distB="0" distL="0" distR="0" wp14:anchorId="20712A38" wp14:editId="39E2D5C6">
            <wp:extent cx="5828030" cy="4890135"/>
            <wp:effectExtent l="0" t="0" r="1270" b="5715"/>
            <wp:docPr id="9297" name="Grafik 9297" title="Phylogenie Metarhiz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28030" cy="4890135"/>
                    </a:xfrm>
                    <a:prstGeom prst="rect">
                      <a:avLst/>
                    </a:prstGeom>
                  </pic:spPr>
                </pic:pic>
              </a:graphicData>
            </a:graphic>
          </wp:inline>
        </w:drawing>
      </w:r>
    </w:p>
    <w:p w:rsidR="009E0391" w:rsidRDefault="009E0391" w:rsidP="009E0391">
      <w:pPr>
        <w:pStyle w:val="Beschriftung"/>
      </w:pPr>
      <w:bookmarkStart w:id="72" w:name="_Toc532311592"/>
      <w:bookmarkStart w:id="73" w:name="_Toc7715403"/>
      <w:r>
        <w:t xml:space="preserve">Abbildung </w:t>
      </w:r>
      <w:fldSimple w:instr=" SEQ Abbildung \* ARABIC ">
        <w:r w:rsidR="00055400">
          <w:rPr>
            <w:noProof/>
          </w:rPr>
          <w:t>12</w:t>
        </w:r>
      </w:fldSimple>
      <w:r>
        <w:t xml:space="preserve">: </w:t>
      </w:r>
      <w:r w:rsidRPr="0099786D">
        <w:t>Verwandtschaft der verschiedenen Metarhizium Genotypen, welche in den Versuchstandorten, Bad Radkersburg Umgebung (Steiermark: Dietzen und Laafeld) und im Großachetal (Tirol: Burgenfeld und Kramat) 2016 und 2017 isoliert wurden (Minimal Spinning Network; R 3.1.1 for Windows). Die Größe der Kreisflächen symbolisiert die Häufigkeit des gefundenen Genotyps. Alle identifizierten M. brunneum Isolate sind mit einer durchgehenden Line markiert. M. lepidiotae ist mit einer Punktlinie bzw. M. robertsii durch eine unterbrochene Linie gekennzeichnet. Die Genotypen aus dem Jahr 2018 sind noch in Bearbeitung (A. Gruber, Master Thesis, Universität Innsbruck).</w:t>
      </w:r>
      <w:bookmarkEnd w:id="72"/>
      <w:bookmarkEnd w:id="73"/>
    </w:p>
    <w:p w:rsidR="009E0391" w:rsidRDefault="009E0391" w:rsidP="009E0391">
      <w:pPr>
        <w:pStyle w:val="Tabellentitel"/>
      </w:pPr>
      <w:r w:rsidRPr="0099786D">
        <w:br w:type="page"/>
      </w:r>
      <w:bookmarkStart w:id="74" w:name="_Toc532311569"/>
      <w:bookmarkStart w:id="75" w:name="_Toc7715384"/>
      <w:r>
        <w:t xml:space="preserve">Tabelle </w:t>
      </w:r>
      <w:fldSimple w:instr=" SEQ Tabelle \* ARABIC ">
        <w:r w:rsidR="00055400">
          <w:rPr>
            <w:noProof/>
          </w:rPr>
          <w:t>3</w:t>
        </w:r>
      </w:fldSimple>
      <w:r>
        <w:t xml:space="preserve">: </w:t>
      </w:r>
      <w:r w:rsidRPr="0099786D">
        <w:t>Rücksiolation des GranMet</w:t>
      </w:r>
      <w:r w:rsidRPr="0099786D">
        <w:rPr>
          <w:vertAlign w:val="superscript"/>
        </w:rPr>
        <w:t>TM</w:t>
      </w:r>
      <w:r w:rsidRPr="0099786D">
        <w:t xml:space="preserve">  Produktionsstammes BIPESCO 5 (angegeben in Prozent), und Anzahl der verschiedenen </w:t>
      </w:r>
      <w:r w:rsidRPr="0099786D">
        <w:rPr>
          <w:i/>
        </w:rPr>
        <w:t xml:space="preserve">Metarhizium </w:t>
      </w:r>
      <w:r w:rsidRPr="0099786D">
        <w:t>Genotypen, welche in den Versuchstandorten in der Steiermark (Dietzen und Laafeld) und in Tirol (Burgenfeld und Kramat) im Juni und September 2017 isoliert wurden.</w:t>
      </w:r>
      <w:bookmarkEnd w:id="74"/>
      <w:bookmarkEnd w:id="75"/>
    </w:p>
    <w:tbl>
      <w:tblPr>
        <w:tblW w:w="0" w:type="auto"/>
        <w:jc w:val="right"/>
        <w:tblBorders>
          <w:insideH w:val="single" w:sz="2" w:space="0" w:color="auto"/>
          <w:insideV w:val="single" w:sz="2" w:space="0" w:color="auto"/>
        </w:tblBorders>
        <w:tblLook w:val="04A0" w:firstRow="1" w:lastRow="0" w:firstColumn="1" w:lastColumn="0" w:noHBand="0" w:noVBand="1"/>
      </w:tblPr>
      <w:tblGrid>
        <w:gridCol w:w="2231"/>
        <w:gridCol w:w="2942"/>
        <w:gridCol w:w="1717"/>
        <w:gridCol w:w="2288"/>
      </w:tblGrid>
      <w:tr w:rsidR="009E0391" w:rsidRPr="0099786D" w:rsidTr="00E272CB">
        <w:trPr>
          <w:jc w:val="right"/>
        </w:trPr>
        <w:tc>
          <w:tcPr>
            <w:tcW w:w="2231" w:type="dxa"/>
            <w:shd w:val="clear" w:color="auto" w:fill="auto"/>
            <w:vAlign w:val="center"/>
          </w:tcPr>
          <w:p w:rsidR="009E0391" w:rsidRPr="0099786D" w:rsidRDefault="009E0391" w:rsidP="00E272CB">
            <w:pPr>
              <w:rPr>
                <w:rFonts w:eastAsia="Times New Roman"/>
                <w:b/>
                <w:color w:val="2869A1"/>
                <w:lang w:val="de-DE" w:eastAsia="de-DE"/>
              </w:rPr>
            </w:pPr>
            <w:r w:rsidRPr="0099786D">
              <w:rPr>
                <w:rFonts w:eastAsia="Times New Roman"/>
                <w:b/>
                <w:color w:val="2869A1"/>
                <w:lang w:val="de-DE" w:eastAsia="de-DE"/>
              </w:rPr>
              <w:t>Standort</w:t>
            </w:r>
          </w:p>
        </w:tc>
        <w:tc>
          <w:tcPr>
            <w:tcW w:w="6947" w:type="dxa"/>
            <w:gridSpan w:val="3"/>
            <w:shd w:val="clear" w:color="auto" w:fill="auto"/>
            <w:vAlign w:val="center"/>
          </w:tcPr>
          <w:p w:rsidR="009E0391" w:rsidRPr="0099786D" w:rsidRDefault="009E0391" w:rsidP="00E272CB">
            <w:pPr>
              <w:jc w:val="right"/>
              <w:rPr>
                <w:rFonts w:eastAsia="Times New Roman"/>
                <w:b/>
                <w:color w:val="2869A1"/>
                <w:lang w:val="de-DE" w:eastAsia="de-DE"/>
              </w:rPr>
            </w:pPr>
            <w:r w:rsidRPr="0099786D">
              <w:rPr>
                <w:rFonts w:eastAsia="Times New Roman"/>
                <w:b/>
                <w:i/>
                <w:color w:val="2869A1"/>
                <w:lang w:val="de-DE" w:eastAsia="de-DE"/>
              </w:rPr>
              <w:t>Metarhizium</w:t>
            </w:r>
            <w:r w:rsidRPr="0099786D">
              <w:rPr>
                <w:rFonts w:eastAsia="Times New Roman"/>
                <w:b/>
                <w:color w:val="2869A1"/>
                <w:lang w:val="de-DE" w:eastAsia="de-DE"/>
              </w:rPr>
              <w:t xml:space="preserve"> Isolate</w:t>
            </w:r>
            <w:r w:rsidRPr="0099786D">
              <w:rPr>
                <w:rFonts w:eastAsia="Times New Roman"/>
                <w:b/>
                <w:color w:val="2869A1"/>
                <w:lang w:val="de-DE" w:eastAsia="de-DE"/>
              </w:rPr>
              <w:br/>
              <w:t>BIPESCO 5 Nachweis in Prozent und Anzahl aller isolierten Genotypen</w:t>
            </w:r>
          </w:p>
        </w:tc>
      </w:tr>
      <w:tr w:rsidR="009E0391" w:rsidRPr="0099786D" w:rsidTr="00E272CB">
        <w:trPr>
          <w:trHeight w:val="273"/>
          <w:jc w:val="right"/>
        </w:trPr>
        <w:tc>
          <w:tcPr>
            <w:tcW w:w="2231" w:type="dxa"/>
            <w:shd w:val="clear" w:color="auto" w:fill="auto"/>
            <w:vAlign w:val="center"/>
          </w:tcPr>
          <w:p w:rsidR="009E0391" w:rsidRPr="0099786D" w:rsidRDefault="009E0391" w:rsidP="00E272CB">
            <w:pPr>
              <w:rPr>
                <w:rFonts w:eastAsia="Times New Roman"/>
                <w:b/>
                <w:color w:val="2869A1"/>
                <w:lang w:val="de-DE" w:eastAsia="de-DE"/>
              </w:rPr>
            </w:pPr>
          </w:p>
        </w:tc>
        <w:tc>
          <w:tcPr>
            <w:tcW w:w="2942" w:type="dxa"/>
            <w:shd w:val="clear" w:color="auto" w:fill="auto"/>
            <w:vAlign w:val="center"/>
          </w:tcPr>
          <w:p w:rsidR="009E0391" w:rsidRPr="0099786D" w:rsidRDefault="009E0391" w:rsidP="00E272CB">
            <w:pPr>
              <w:jc w:val="right"/>
              <w:rPr>
                <w:rFonts w:eastAsia="Times New Roman"/>
                <w:lang w:val="de-DE" w:eastAsia="de-DE"/>
              </w:rPr>
            </w:pPr>
          </w:p>
        </w:tc>
        <w:tc>
          <w:tcPr>
            <w:tcW w:w="4005" w:type="dxa"/>
            <w:gridSpan w:val="2"/>
            <w:shd w:val="clear" w:color="auto" w:fill="auto"/>
            <w:vAlign w:val="center"/>
          </w:tcPr>
          <w:p w:rsidR="009E0391" w:rsidRPr="0099786D" w:rsidRDefault="009E0391" w:rsidP="00E272CB">
            <w:pPr>
              <w:jc w:val="right"/>
              <w:rPr>
                <w:rFonts w:eastAsia="Times New Roman"/>
                <w:lang w:val="de-DE" w:eastAsia="de-DE"/>
              </w:rPr>
            </w:pPr>
            <w:r w:rsidRPr="0099786D">
              <w:rPr>
                <w:rFonts w:eastAsia="Times New Roman"/>
                <w:lang w:val="de-DE" w:eastAsia="de-DE"/>
              </w:rPr>
              <w:t>Probennahme</w:t>
            </w:r>
          </w:p>
        </w:tc>
      </w:tr>
      <w:tr w:rsidR="009E0391" w:rsidRPr="0099786D" w:rsidTr="00E272CB">
        <w:trPr>
          <w:trHeight w:val="247"/>
          <w:jc w:val="right"/>
        </w:trPr>
        <w:tc>
          <w:tcPr>
            <w:tcW w:w="2231" w:type="dxa"/>
            <w:shd w:val="clear" w:color="auto" w:fill="auto"/>
            <w:vAlign w:val="center"/>
          </w:tcPr>
          <w:p w:rsidR="009E0391" w:rsidRPr="0099786D" w:rsidRDefault="009E0391" w:rsidP="00E272CB">
            <w:pPr>
              <w:rPr>
                <w:rFonts w:eastAsia="Times New Roman"/>
                <w:b/>
                <w:color w:val="2869A1"/>
                <w:lang w:val="de-DE" w:eastAsia="de-DE"/>
              </w:rPr>
            </w:pPr>
          </w:p>
        </w:tc>
        <w:tc>
          <w:tcPr>
            <w:tcW w:w="2942" w:type="dxa"/>
            <w:shd w:val="clear" w:color="auto" w:fill="auto"/>
            <w:vAlign w:val="center"/>
          </w:tcPr>
          <w:p w:rsidR="009E0391" w:rsidRPr="0099786D" w:rsidRDefault="009E0391" w:rsidP="00E272CB">
            <w:pPr>
              <w:jc w:val="right"/>
              <w:rPr>
                <w:rFonts w:eastAsia="Times New Roman"/>
                <w:lang w:val="de-DE" w:eastAsia="de-DE"/>
              </w:rPr>
            </w:pPr>
          </w:p>
        </w:tc>
        <w:tc>
          <w:tcPr>
            <w:tcW w:w="1717" w:type="dxa"/>
            <w:shd w:val="clear" w:color="auto" w:fill="auto"/>
            <w:vAlign w:val="center"/>
          </w:tcPr>
          <w:p w:rsidR="009E0391" w:rsidRPr="0099786D" w:rsidRDefault="009E0391" w:rsidP="00E272CB">
            <w:pPr>
              <w:jc w:val="right"/>
              <w:rPr>
                <w:rFonts w:eastAsia="Times New Roman"/>
                <w:lang w:val="de-DE" w:eastAsia="de-DE"/>
              </w:rPr>
            </w:pPr>
            <w:r w:rsidRPr="0099786D">
              <w:rPr>
                <w:rFonts w:eastAsia="Times New Roman"/>
                <w:lang w:val="de-DE" w:eastAsia="de-DE"/>
              </w:rPr>
              <w:t>06/2017</w:t>
            </w:r>
          </w:p>
        </w:tc>
        <w:tc>
          <w:tcPr>
            <w:tcW w:w="2288" w:type="dxa"/>
            <w:shd w:val="clear" w:color="auto" w:fill="auto"/>
            <w:vAlign w:val="center"/>
          </w:tcPr>
          <w:p w:rsidR="009E0391" w:rsidRPr="0099786D" w:rsidRDefault="009E0391" w:rsidP="00E272CB">
            <w:pPr>
              <w:jc w:val="right"/>
              <w:rPr>
                <w:rFonts w:eastAsia="Times New Roman"/>
                <w:lang w:val="de-DE" w:eastAsia="de-DE"/>
              </w:rPr>
            </w:pPr>
            <w:r w:rsidRPr="0099786D">
              <w:rPr>
                <w:rFonts w:eastAsia="Times New Roman"/>
                <w:lang w:val="de-DE" w:eastAsia="de-DE"/>
              </w:rPr>
              <w:t>09/2017</w:t>
            </w:r>
          </w:p>
        </w:tc>
      </w:tr>
      <w:tr w:rsidR="009E0391" w:rsidRPr="0099786D" w:rsidTr="00E272CB">
        <w:trPr>
          <w:jc w:val="right"/>
        </w:trPr>
        <w:tc>
          <w:tcPr>
            <w:tcW w:w="2231" w:type="dxa"/>
            <w:vMerge w:val="restart"/>
            <w:shd w:val="clear" w:color="auto" w:fill="auto"/>
            <w:vAlign w:val="center"/>
          </w:tcPr>
          <w:p w:rsidR="009E0391" w:rsidRPr="0099786D" w:rsidRDefault="009E0391" w:rsidP="00E272CB">
            <w:pPr>
              <w:rPr>
                <w:rFonts w:eastAsia="Times New Roman"/>
                <w:b/>
                <w:color w:val="2869A1"/>
                <w:sz w:val="20"/>
                <w:szCs w:val="20"/>
                <w:lang w:val="en-GB" w:eastAsia="de-AT"/>
              </w:rPr>
            </w:pPr>
            <w:r w:rsidRPr="0099786D">
              <w:rPr>
                <w:rFonts w:eastAsia="Times New Roman"/>
                <w:b/>
                <w:color w:val="2869A1"/>
                <w:sz w:val="20"/>
                <w:szCs w:val="20"/>
                <w:lang w:val="en-GB" w:eastAsia="de-AT"/>
              </w:rPr>
              <w:t>Laafeld</w:t>
            </w:r>
          </w:p>
        </w:tc>
        <w:tc>
          <w:tcPr>
            <w:tcW w:w="2942" w:type="dxa"/>
            <w:shd w:val="clear" w:color="auto" w:fill="auto"/>
            <w:vAlign w:val="center"/>
          </w:tcPr>
          <w:p w:rsidR="009E0391" w:rsidRPr="0099786D" w:rsidRDefault="009E0391" w:rsidP="00E272CB">
            <w:pPr>
              <w:jc w:val="right"/>
              <w:rPr>
                <w:rFonts w:eastAsia="Times New Roman"/>
                <w:sz w:val="20"/>
                <w:szCs w:val="20"/>
                <w:lang w:val="en-GB" w:eastAsia="de-AT"/>
              </w:rPr>
            </w:pPr>
            <w:r w:rsidRPr="0099786D">
              <w:rPr>
                <w:rFonts w:eastAsia="Times New Roman"/>
                <w:sz w:val="20"/>
                <w:szCs w:val="20"/>
                <w:lang w:val="en-GB" w:eastAsia="de-AT"/>
              </w:rPr>
              <w:t>BIPESCO  5</w:t>
            </w:r>
          </w:p>
        </w:tc>
        <w:tc>
          <w:tcPr>
            <w:tcW w:w="1717" w:type="dxa"/>
            <w:shd w:val="clear" w:color="auto" w:fill="auto"/>
            <w:vAlign w:val="center"/>
          </w:tcPr>
          <w:p w:rsidR="009E0391" w:rsidRPr="0099786D" w:rsidRDefault="009E0391" w:rsidP="00E272CB">
            <w:pPr>
              <w:jc w:val="right"/>
              <w:rPr>
                <w:rFonts w:eastAsia="Times New Roman"/>
                <w:sz w:val="20"/>
                <w:szCs w:val="20"/>
                <w:lang w:val="en-GB" w:eastAsia="de-AT"/>
              </w:rPr>
            </w:pPr>
            <w:r w:rsidRPr="0099786D">
              <w:rPr>
                <w:rFonts w:eastAsia="Times New Roman"/>
                <w:sz w:val="20"/>
                <w:szCs w:val="20"/>
                <w:lang w:val="en-GB" w:eastAsia="de-AT"/>
              </w:rPr>
              <w:t>0</w:t>
            </w:r>
          </w:p>
        </w:tc>
        <w:tc>
          <w:tcPr>
            <w:tcW w:w="2288" w:type="dxa"/>
            <w:shd w:val="clear" w:color="auto" w:fill="auto"/>
            <w:vAlign w:val="center"/>
          </w:tcPr>
          <w:p w:rsidR="009E0391" w:rsidRPr="0099786D" w:rsidRDefault="009E0391" w:rsidP="00E272CB">
            <w:pPr>
              <w:jc w:val="right"/>
              <w:rPr>
                <w:rFonts w:eastAsia="Times New Roman"/>
                <w:sz w:val="20"/>
                <w:szCs w:val="20"/>
                <w:lang w:val="en-GB" w:eastAsia="de-AT"/>
              </w:rPr>
            </w:pPr>
            <w:r w:rsidRPr="0099786D">
              <w:rPr>
                <w:rFonts w:eastAsia="Times New Roman"/>
                <w:sz w:val="20"/>
                <w:szCs w:val="20"/>
                <w:lang w:val="en-GB" w:eastAsia="de-AT"/>
              </w:rPr>
              <w:t>63</w:t>
            </w:r>
          </w:p>
        </w:tc>
      </w:tr>
      <w:tr w:rsidR="009E0391" w:rsidRPr="0099786D" w:rsidTr="00E272CB">
        <w:trPr>
          <w:jc w:val="right"/>
        </w:trPr>
        <w:tc>
          <w:tcPr>
            <w:tcW w:w="2231" w:type="dxa"/>
            <w:vMerge/>
            <w:shd w:val="clear" w:color="auto" w:fill="auto"/>
            <w:vAlign w:val="center"/>
          </w:tcPr>
          <w:p w:rsidR="009E0391" w:rsidRPr="0099786D" w:rsidRDefault="009E0391" w:rsidP="00E272CB">
            <w:pPr>
              <w:rPr>
                <w:rFonts w:eastAsia="Times New Roman"/>
                <w:b/>
                <w:color w:val="2869A1"/>
                <w:sz w:val="20"/>
                <w:szCs w:val="20"/>
                <w:lang w:val="de-DE" w:eastAsia="de-AT"/>
              </w:rPr>
            </w:pPr>
          </w:p>
        </w:tc>
        <w:tc>
          <w:tcPr>
            <w:tcW w:w="2942" w:type="dxa"/>
            <w:shd w:val="clear" w:color="auto" w:fill="auto"/>
            <w:vAlign w:val="center"/>
          </w:tcPr>
          <w:p w:rsidR="009E0391" w:rsidRPr="0099786D" w:rsidRDefault="009E0391" w:rsidP="00E272CB">
            <w:pPr>
              <w:jc w:val="right"/>
              <w:rPr>
                <w:rFonts w:eastAsia="Times New Roman"/>
                <w:sz w:val="20"/>
                <w:szCs w:val="20"/>
                <w:lang w:val="de-DE" w:eastAsia="de-AT"/>
              </w:rPr>
            </w:pPr>
            <w:r w:rsidRPr="0099786D">
              <w:rPr>
                <w:rFonts w:eastAsia="Times New Roman"/>
                <w:sz w:val="20"/>
                <w:szCs w:val="20"/>
                <w:lang w:val="de-DE" w:eastAsia="de-AT"/>
              </w:rPr>
              <w:t xml:space="preserve">Anzahl von Genotypen </w:t>
            </w:r>
          </w:p>
        </w:tc>
        <w:tc>
          <w:tcPr>
            <w:tcW w:w="1717" w:type="dxa"/>
            <w:shd w:val="clear" w:color="auto" w:fill="auto"/>
            <w:vAlign w:val="center"/>
          </w:tcPr>
          <w:p w:rsidR="009E0391" w:rsidRPr="0099786D" w:rsidRDefault="009E0391" w:rsidP="00E272CB">
            <w:pPr>
              <w:jc w:val="right"/>
              <w:rPr>
                <w:rFonts w:eastAsia="Times New Roman"/>
                <w:sz w:val="20"/>
                <w:szCs w:val="20"/>
                <w:lang w:val="de-DE" w:eastAsia="de-AT"/>
              </w:rPr>
            </w:pPr>
            <w:r w:rsidRPr="0099786D">
              <w:rPr>
                <w:rFonts w:eastAsia="Times New Roman"/>
                <w:sz w:val="20"/>
                <w:szCs w:val="20"/>
                <w:lang w:val="de-DE" w:eastAsia="de-AT"/>
              </w:rPr>
              <w:t>8</w:t>
            </w:r>
          </w:p>
        </w:tc>
        <w:tc>
          <w:tcPr>
            <w:tcW w:w="2288" w:type="dxa"/>
            <w:shd w:val="clear" w:color="auto" w:fill="auto"/>
            <w:vAlign w:val="center"/>
          </w:tcPr>
          <w:p w:rsidR="009E0391" w:rsidRPr="0099786D" w:rsidRDefault="009E0391" w:rsidP="00E272CB">
            <w:pPr>
              <w:jc w:val="right"/>
              <w:rPr>
                <w:rFonts w:eastAsia="Times New Roman"/>
                <w:sz w:val="20"/>
                <w:szCs w:val="20"/>
                <w:lang w:val="de-DE" w:eastAsia="de-AT"/>
              </w:rPr>
            </w:pPr>
            <w:r w:rsidRPr="0099786D">
              <w:rPr>
                <w:rFonts w:eastAsia="Times New Roman"/>
                <w:sz w:val="20"/>
                <w:szCs w:val="20"/>
                <w:lang w:val="de-DE" w:eastAsia="de-AT"/>
              </w:rPr>
              <w:t>5</w:t>
            </w:r>
          </w:p>
        </w:tc>
      </w:tr>
      <w:tr w:rsidR="009E0391" w:rsidRPr="0099786D" w:rsidTr="00E272CB">
        <w:trPr>
          <w:jc w:val="right"/>
        </w:trPr>
        <w:tc>
          <w:tcPr>
            <w:tcW w:w="2231" w:type="dxa"/>
            <w:vMerge w:val="restart"/>
            <w:shd w:val="clear" w:color="auto" w:fill="auto"/>
            <w:vAlign w:val="center"/>
          </w:tcPr>
          <w:p w:rsidR="009E0391" w:rsidRPr="0099786D" w:rsidRDefault="009E0391" w:rsidP="00E272CB">
            <w:pPr>
              <w:rPr>
                <w:rFonts w:eastAsia="Times New Roman"/>
                <w:b/>
                <w:color w:val="2869A1"/>
                <w:sz w:val="20"/>
                <w:szCs w:val="20"/>
                <w:lang w:val="en-GB" w:eastAsia="de-AT"/>
              </w:rPr>
            </w:pPr>
            <w:r w:rsidRPr="0099786D">
              <w:rPr>
                <w:rFonts w:eastAsia="Times New Roman"/>
                <w:b/>
                <w:color w:val="2869A1"/>
                <w:sz w:val="20"/>
                <w:szCs w:val="20"/>
                <w:lang w:val="en-GB" w:eastAsia="de-AT"/>
              </w:rPr>
              <w:t>Dietzen</w:t>
            </w:r>
          </w:p>
        </w:tc>
        <w:tc>
          <w:tcPr>
            <w:tcW w:w="2942" w:type="dxa"/>
            <w:shd w:val="clear" w:color="auto" w:fill="auto"/>
            <w:vAlign w:val="center"/>
          </w:tcPr>
          <w:p w:rsidR="009E0391" w:rsidRPr="0099786D" w:rsidRDefault="009E0391" w:rsidP="00E272CB">
            <w:pPr>
              <w:jc w:val="right"/>
              <w:rPr>
                <w:rFonts w:eastAsia="Times New Roman"/>
                <w:sz w:val="20"/>
                <w:szCs w:val="20"/>
                <w:lang w:val="en-GB" w:eastAsia="de-AT"/>
              </w:rPr>
            </w:pPr>
            <w:r w:rsidRPr="0099786D">
              <w:rPr>
                <w:rFonts w:eastAsia="Times New Roman"/>
                <w:sz w:val="20"/>
                <w:szCs w:val="20"/>
                <w:lang w:val="en-GB" w:eastAsia="de-AT"/>
              </w:rPr>
              <w:t>BIPESCO  5</w:t>
            </w:r>
          </w:p>
        </w:tc>
        <w:tc>
          <w:tcPr>
            <w:tcW w:w="1717" w:type="dxa"/>
            <w:shd w:val="clear" w:color="auto" w:fill="auto"/>
            <w:vAlign w:val="center"/>
          </w:tcPr>
          <w:p w:rsidR="009E0391" w:rsidRPr="0099786D" w:rsidRDefault="009E0391" w:rsidP="00E272CB">
            <w:pPr>
              <w:jc w:val="right"/>
              <w:rPr>
                <w:rFonts w:eastAsia="Times New Roman"/>
                <w:sz w:val="20"/>
                <w:szCs w:val="20"/>
                <w:lang w:val="en-GB" w:eastAsia="de-AT"/>
              </w:rPr>
            </w:pPr>
            <w:r w:rsidRPr="0099786D">
              <w:rPr>
                <w:rFonts w:eastAsia="Times New Roman"/>
                <w:sz w:val="20"/>
                <w:szCs w:val="20"/>
                <w:lang w:val="en-GB" w:eastAsia="de-AT"/>
              </w:rPr>
              <w:t>71</w:t>
            </w:r>
          </w:p>
        </w:tc>
        <w:tc>
          <w:tcPr>
            <w:tcW w:w="2288" w:type="dxa"/>
            <w:shd w:val="clear" w:color="auto" w:fill="auto"/>
            <w:vAlign w:val="center"/>
          </w:tcPr>
          <w:p w:rsidR="009E0391" w:rsidRPr="0099786D" w:rsidRDefault="009E0391" w:rsidP="00E272CB">
            <w:pPr>
              <w:jc w:val="right"/>
              <w:rPr>
                <w:rFonts w:eastAsia="Times New Roman"/>
                <w:sz w:val="20"/>
                <w:szCs w:val="20"/>
                <w:lang w:val="en-GB" w:eastAsia="de-AT"/>
              </w:rPr>
            </w:pPr>
            <w:r w:rsidRPr="0099786D">
              <w:rPr>
                <w:rFonts w:eastAsia="Times New Roman"/>
                <w:sz w:val="20"/>
                <w:szCs w:val="20"/>
                <w:lang w:val="en-GB" w:eastAsia="de-AT"/>
              </w:rPr>
              <w:t>4</w:t>
            </w:r>
          </w:p>
        </w:tc>
      </w:tr>
      <w:tr w:rsidR="009E0391" w:rsidRPr="0099786D" w:rsidTr="00E272CB">
        <w:trPr>
          <w:jc w:val="right"/>
        </w:trPr>
        <w:tc>
          <w:tcPr>
            <w:tcW w:w="2231" w:type="dxa"/>
            <w:vMerge/>
            <w:shd w:val="clear" w:color="auto" w:fill="auto"/>
            <w:vAlign w:val="center"/>
          </w:tcPr>
          <w:p w:rsidR="009E0391" w:rsidRPr="0099786D" w:rsidRDefault="009E0391" w:rsidP="00E272CB">
            <w:pPr>
              <w:rPr>
                <w:rFonts w:eastAsia="Times New Roman"/>
                <w:b/>
                <w:color w:val="2869A1"/>
                <w:sz w:val="20"/>
                <w:szCs w:val="20"/>
                <w:lang w:val="de-DE" w:eastAsia="de-AT"/>
              </w:rPr>
            </w:pPr>
          </w:p>
        </w:tc>
        <w:tc>
          <w:tcPr>
            <w:tcW w:w="2942" w:type="dxa"/>
            <w:shd w:val="clear" w:color="auto" w:fill="auto"/>
            <w:vAlign w:val="center"/>
          </w:tcPr>
          <w:p w:rsidR="009E0391" w:rsidRPr="0099786D" w:rsidRDefault="009E0391" w:rsidP="00E272CB">
            <w:pPr>
              <w:jc w:val="right"/>
              <w:rPr>
                <w:rFonts w:eastAsia="Times New Roman"/>
                <w:sz w:val="20"/>
                <w:szCs w:val="20"/>
                <w:lang w:val="de-DE" w:eastAsia="de-AT"/>
              </w:rPr>
            </w:pPr>
            <w:r w:rsidRPr="0099786D">
              <w:rPr>
                <w:rFonts w:eastAsia="Times New Roman"/>
                <w:sz w:val="20"/>
                <w:szCs w:val="20"/>
                <w:lang w:val="de-DE" w:eastAsia="de-AT"/>
              </w:rPr>
              <w:t xml:space="preserve">Anzahl von Genotypen </w:t>
            </w:r>
          </w:p>
        </w:tc>
        <w:tc>
          <w:tcPr>
            <w:tcW w:w="1717" w:type="dxa"/>
            <w:shd w:val="clear" w:color="auto" w:fill="auto"/>
            <w:vAlign w:val="center"/>
          </w:tcPr>
          <w:p w:rsidR="009E0391" w:rsidRPr="0099786D" w:rsidRDefault="009E0391" w:rsidP="00E272CB">
            <w:pPr>
              <w:jc w:val="right"/>
              <w:rPr>
                <w:rFonts w:eastAsia="Times New Roman"/>
                <w:sz w:val="20"/>
                <w:szCs w:val="20"/>
                <w:lang w:val="de-DE" w:eastAsia="de-AT"/>
              </w:rPr>
            </w:pPr>
            <w:r w:rsidRPr="0099786D">
              <w:rPr>
                <w:rFonts w:eastAsia="Times New Roman"/>
                <w:sz w:val="20"/>
                <w:szCs w:val="20"/>
                <w:lang w:val="en-GB" w:eastAsia="de-AT"/>
              </w:rPr>
              <w:t>4</w:t>
            </w:r>
          </w:p>
        </w:tc>
        <w:tc>
          <w:tcPr>
            <w:tcW w:w="2288" w:type="dxa"/>
            <w:shd w:val="clear" w:color="auto" w:fill="auto"/>
            <w:vAlign w:val="center"/>
          </w:tcPr>
          <w:p w:rsidR="009E0391" w:rsidRPr="0099786D" w:rsidRDefault="009E0391" w:rsidP="00E272CB">
            <w:pPr>
              <w:jc w:val="right"/>
              <w:rPr>
                <w:rFonts w:eastAsia="Times New Roman"/>
                <w:sz w:val="20"/>
                <w:szCs w:val="20"/>
                <w:lang w:val="de-DE" w:eastAsia="de-AT"/>
              </w:rPr>
            </w:pPr>
            <w:r w:rsidRPr="0099786D">
              <w:rPr>
                <w:rFonts w:eastAsia="Times New Roman"/>
                <w:sz w:val="20"/>
                <w:szCs w:val="20"/>
                <w:lang w:val="en-GB" w:eastAsia="de-AT"/>
              </w:rPr>
              <w:t>8</w:t>
            </w:r>
          </w:p>
        </w:tc>
      </w:tr>
      <w:tr w:rsidR="009E0391" w:rsidRPr="0099786D" w:rsidTr="00E272CB">
        <w:trPr>
          <w:jc w:val="right"/>
        </w:trPr>
        <w:tc>
          <w:tcPr>
            <w:tcW w:w="2231" w:type="dxa"/>
            <w:vMerge w:val="restart"/>
            <w:shd w:val="clear" w:color="auto" w:fill="auto"/>
            <w:vAlign w:val="center"/>
          </w:tcPr>
          <w:p w:rsidR="009E0391" w:rsidRPr="0099786D" w:rsidRDefault="009E0391" w:rsidP="00E272CB">
            <w:pPr>
              <w:rPr>
                <w:rFonts w:eastAsia="Times New Roman"/>
                <w:b/>
                <w:color w:val="2869A1"/>
                <w:sz w:val="20"/>
                <w:szCs w:val="20"/>
                <w:lang w:val="de-DE" w:eastAsia="de-AT"/>
              </w:rPr>
            </w:pPr>
            <w:r w:rsidRPr="0099786D">
              <w:rPr>
                <w:rFonts w:eastAsia="Times New Roman"/>
                <w:b/>
                <w:color w:val="2869A1"/>
                <w:sz w:val="20"/>
                <w:szCs w:val="20"/>
                <w:lang w:val="de-DE" w:eastAsia="de-AT"/>
              </w:rPr>
              <w:t>Burgenfeld</w:t>
            </w:r>
          </w:p>
        </w:tc>
        <w:tc>
          <w:tcPr>
            <w:tcW w:w="2942" w:type="dxa"/>
            <w:shd w:val="clear" w:color="auto" w:fill="auto"/>
            <w:vAlign w:val="center"/>
          </w:tcPr>
          <w:p w:rsidR="009E0391" w:rsidRPr="0099786D" w:rsidRDefault="009E0391" w:rsidP="00E272CB">
            <w:pPr>
              <w:jc w:val="right"/>
              <w:rPr>
                <w:rFonts w:eastAsia="Times New Roman"/>
                <w:sz w:val="20"/>
                <w:szCs w:val="20"/>
                <w:lang w:val="en-GB" w:eastAsia="de-AT"/>
              </w:rPr>
            </w:pPr>
            <w:r w:rsidRPr="0099786D">
              <w:rPr>
                <w:rFonts w:eastAsia="Times New Roman"/>
                <w:sz w:val="20"/>
                <w:szCs w:val="20"/>
                <w:lang w:val="en-GB" w:eastAsia="de-AT"/>
              </w:rPr>
              <w:t>BIPESCO  5</w:t>
            </w:r>
          </w:p>
        </w:tc>
        <w:tc>
          <w:tcPr>
            <w:tcW w:w="1717" w:type="dxa"/>
            <w:shd w:val="clear" w:color="auto" w:fill="auto"/>
            <w:vAlign w:val="center"/>
          </w:tcPr>
          <w:p w:rsidR="009E0391" w:rsidRPr="0099786D" w:rsidRDefault="009E0391" w:rsidP="00E272CB">
            <w:pPr>
              <w:jc w:val="right"/>
              <w:rPr>
                <w:rFonts w:eastAsia="Times New Roman"/>
                <w:sz w:val="20"/>
                <w:szCs w:val="20"/>
                <w:lang w:val="en-GB" w:eastAsia="de-AT"/>
              </w:rPr>
            </w:pPr>
            <w:r w:rsidRPr="0099786D">
              <w:rPr>
                <w:rFonts w:eastAsia="Times New Roman"/>
                <w:sz w:val="20"/>
                <w:szCs w:val="20"/>
                <w:lang w:val="en-GB" w:eastAsia="de-AT"/>
              </w:rPr>
              <w:t>75</w:t>
            </w:r>
          </w:p>
        </w:tc>
        <w:tc>
          <w:tcPr>
            <w:tcW w:w="2288" w:type="dxa"/>
            <w:shd w:val="clear" w:color="auto" w:fill="auto"/>
            <w:vAlign w:val="center"/>
          </w:tcPr>
          <w:p w:rsidR="009E0391" w:rsidRPr="0099786D" w:rsidRDefault="009E0391" w:rsidP="00E272CB">
            <w:pPr>
              <w:jc w:val="right"/>
              <w:rPr>
                <w:rFonts w:eastAsia="Times New Roman"/>
                <w:sz w:val="20"/>
                <w:szCs w:val="20"/>
                <w:lang w:val="en-GB" w:eastAsia="de-AT"/>
              </w:rPr>
            </w:pPr>
            <w:r w:rsidRPr="0099786D">
              <w:rPr>
                <w:rFonts w:eastAsia="Times New Roman"/>
                <w:sz w:val="20"/>
                <w:szCs w:val="20"/>
                <w:lang w:val="en-GB" w:eastAsia="de-AT"/>
              </w:rPr>
              <w:t>58</w:t>
            </w:r>
          </w:p>
        </w:tc>
      </w:tr>
      <w:tr w:rsidR="009E0391" w:rsidRPr="0099786D" w:rsidTr="00E272CB">
        <w:trPr>
          <w:jc w:val="right"/>
        </w:trPr>
        <w:tc>
          <w:tcPr>
            <w:tcW w:w="2231" w:type="dxa"/>
            <w:vMerge/>
            <w:shd w:val="clear" w:color="auto" w:fill="auto"/>
            <w:vAlign w:val="center"/>
          </w:tcPr>
          <w:p w:rsidR="009E0391" w:rsidRPr="0099786D" w:rsidRDefault="009E0391" w:rsidP="00E272CB">
            <w:pPr>
              <w:rPr>
                <w:rFonts w:eastAsia="Times New Roman"/>
                <w:b/>
                <w:color w:val="2869A1"/>
                <w:sz w:val="20"/>
                <w:szCs w:val="20"/>
                <w:lang w:val="de-DE" w:eastAsia="de-AT"/>
              </w:rPr>
            </w:pPr>
          </w:p>
        </w:tc>
        <w:tc>
          <w:tcPr>
            <w:tcW w:w="2942" w:type="dxa"/>
            <w:shd w:val="clear" w:color="auto" w:fill="auto"/>
            <w:vAlign w:val="center"/>
          </w:tcPr>
          <w:p w:rsidR="009E0391" w:rsidRPr="0099786D" w:rsidRDefault="009E0391" w:rsidP="00E272CB">
            <w:pPr>
              <w:jc w:val="right"/>
              <w:rPr>
                <w:rFonts w:eastAsia="Times New Roman"/>
                <w:sz w:val="20"/>
                <w:szCs w:val="20"/>
                <w:lang w:val="de-DE" w:eastAsia="de-AT"/>
              </w:rPr>
            </w:pPr>
            <w:r w:rsidRPr="0099786D">
              <w:rPr>
                <w:rFonts w:eastAsia="Times New Roman"/>
                <w:sz w:val="20"/>
                <w:szCs w:val="20"/>
                <w:lang w:val="de-DE" w:eastAsia="de-AT"/>
              </w:rPr>
              <w:t xml:space="preserve">Anzahl von Genotypen </w:t>
            </w:r>
          </w:p>
        </w:tc>
        <w:tc>
          <w:tcPr>
            <w:tcW w:w="1717" w:type="dxa"/>
            <w:shd w:val="clear" w:color="auto" w:fill="auto"/>
            <w:vAlign w:val="center"/>
          </w:tcPr>
          <w:p w:rsidR="009E0391" w:rsidRPr="0099786D" w:rsidRDefault="009E0391" w:rsidP="00E272CB">
            <w:pPr>
              <w:jc w:val="right"/>
              <w:rPr>
                <w:rFonts w:eastAsia="Times New Roman"/>
                <w:sz w:val="20"/>
                <w:szCs w:val="20"/>
                <w:lang w:val="de-DE" w:eastAsia="de-AT"/>
              </w:rPr>
            </w:pPr>
            <w:r w:rsidRPr="0099786D">
              <w:rPr>
                <w:rFonts w:eastAsia="Times New Roman"/>
                <w:sz w:val="20"/>
                <w:szCs w:val="20"/>
                <w:lang w:val="de-DE" w:eastAsia="de-AT"/>
              </w:rPr>
              <w:t>3</w:t>
            </w:r>
          </w:p>
        </w:tc>
        <w:tc>
          <w:tcPr>
            <w:tcW w:w="2288" w:type="dxa"/>
            <w:shd w:val="clear" w:color="auto" w:fill="auto"/>
            <w:vAlign w:val="center"/>
          </w:tcPr>
          <w:p w:rsidR="009E0391" w:rsidRPr="0099786D" w:rsidRDefault="009E0391" w:rsidP="00E272CB">
            <w:pPr>
              <w:jc w:val="right"/>
              <w:rPr>
                <w:rFonts w:eastAsia="Times New Roman"/>
                <w:sz w:val="20"/>
                <w:szCs w:val="20"/>
                <w:lang w:val="de-DE" w:eastAsia="de-AT"/>
              </w:rPr>
            </w:pPr>
            <w:r w:rsidRPr="0099786D">
              <w:rPr>
                <w:rFonts w:eastAsia="Times New Roman"/>
                <w:sz w:val="20"/>
                <w:szCs w:val="20"/>
                <w:lang w:val="de-DE" w:eastAsia="de-AT"/>
              </w:rPr>
              <w:t>4</w:t>
            </w:r>
          </w:p>
        </w:tc>
      </w:tr>
      <w:tr w:rsidR="009E0391" w:rsidRPr="0099786D" w:rsidTr="00E272CB">
        <w:trPr>
          <w:jc w:val="right"/>
        </w:trPr>
        <w:tc>
          <w:tcPr>
            <w:tcW w:w="2231" w:type="dxa"/>
            <w:vMerge w:val="restart"/>
            <w:shd w:val="clear" w:color="auto" w:fill="auto"/>
            <w:vAlign w:val="center"/>
          </w:tcPr>
          <w:p w:rsidR="009E0391" w:rsidRPr="0099786D" w:rsidRDefault="009E0391" w:rsidP="00E272CB">
            <w:pPr>
              <w:rPr>
                <w:rFonts w:eastAsia="Times New Roman"/>
                <w:b/>
                <w:color w:val="2869A1"/>
                <w:sz w:val="20"/>
                <w:szCs w:val="20"/>
                <w:lang w:val="de-DE" w:eastAsia="de-AT"/>
              </w:rPr>
            </w:pPr>
            <w:r w:rsidRPr="0099786D">
              <w:rPr>
                <w:rFonts w:eastAsia="Times New Roman"/>
                <w:b/>
                <w:color w:val="2869A1"/>
                <w:sz w:val="20"/>
                <w:szCs w:val="20"/>
                <w:lang w:val="de-DE" w:eastAsia="de-AT"/>
              </w:rPr>
              <w:t>Kramat</w:t>
            </w:r>
          </w:p>
        </w:tc>
        <w:tc>
          <w:tcPr>
            <w:tcW w:w="2942" w:type="dxa"/>
            <w:shd w:val="clear" w:color="auto" w:fill="auto"/>
            <w:vAlign w:val="center"/>
          </w:tcPr>
          <w:p w:rsidR="009E0391" w:rsidRPr="0099786D" w:rsidRDefault="009E0391" w:rsidP="00E272CB">
            <w:pPr>
              <w:jc w:val="right"/>
              <w:rPr>
                <w:rFonts w:eastAsia="Times New Roman"/>
                <w:sz w:val="20"/>
                <w:szCs w:val="20"/>
                <w:lang w:val="en-GB" w:eastAsia="de-AT"/>
              </w:rPr>
            </w:pPr>
            <w:r w:rsidRPr="0099786D">
              <w:rPr>
                <w:rFonts w:eastAsia="Times New Roman"/>
                <w:sz w:val="20"/>
                <w:szCs w:val="20"/>
                <w:lang w:val="en-GB" w:eastAsia="de-AT"/>
              </w:rPr>
              <w:t>BIPESCO  5</w:t>
            </w:r>
          </w:p>
        </w:tc>
        <w:tc>
          <w:tcPr>
            <w:tcW w:w="1717" w:type="dxa"/>
            <w:shd w:val="clear" w:color="auto" w:fill="auto"/>
            <w:vAlign w:val="center"/>
          </w:tcPr>
          <w:p w:rsidR="009E0391" w:rsidRPr="0099786D" w:rsidRDefault="009E0391" w:rsidP="00E272CB">
            <w:pPr>
              <w:jc w:val="right"/>
              <w:rPr>
                <w:rFonts w:eastAsia="Times New Roman"/>
                <w:sz w:val="20"/>
                <w:szCs w:val="20"/>
                <w:lang w:val="en-GB" w:eastAsia="de-AT"/>
              </w:rPr>
            </w:pPr>
            <w:r w:rsidRPr="0099786D">
              <w:rPr>
                <w:rFonts w:eastAsia="Times New Roman"/>
                <w:sz w:val="20"/>
                <w:szCs w:val="20"/>
                <w:lang w:val="en-GB" w:eastAsia="de-AT"/>
              </w:rPr>
              <w:t>71</w:t>
            </w:r>
          </w:p>
        </w:tc>
        <w:tc>
          <w:tcPr>
            <w:tcW w:w="2288" w:type="dxa"/>
            <w:shd w:val="clear" w:color="auto" w:fill="auto"/>
            <w:vAlign w:val="center"/>
          </w:tcPr>
          <w:p w:rsidR="009E0391" w:rsidRPr="0099786D" w:rsidRDefault="009E0391" w:rsidP="00E272CB">
            <w:pPr>
              <w:jc w:val="right"/>
              <w:rPr>
                <w:rFonts w:eastAsia="Times New Roman"/>
                <w:sz w:val="20"/>
                <w:szCs w:val="20"/>
                <w:lang w:val="en-GB" w:eastAsia="de-AT"/>
              </w:rPr>
            </w:pPr>
            <w:r w:rsidRPr="0099786D">
              <w:rPr>
                <w:rFonts w:eastAsia="Times New Roman"/>
                <w:sz w:val="20"/>
                <w:szCs w:val="20"/>
                <w:lang w:val="en-GB" w:eastAsia="de-AT"/>
              </w:rPr>
              <w:t>83</w:t>
            </w:r>
          </w:p>
        </w:tc>
      </w:tr>
      <w:tr w:rsidR="009E0391" w:rsidRPr="0099786D" w:rsidTr="00E272CB">
        <w:trPr>
          <w:jc w:val="right"/>
        </w:trPr>
        <w:tc>
          <w:tcPr>
            <w:tcW w:w="2231" w:type="dxa"/>
            <w:vMerge/>
            <w:shd w:val="clear" w:color="auto" w:fill="auto"/>
            <w:vAlign w:val="center"/>
          </w:tcPr>
          <w:p w:rsidR="009E0391" w:rsidRPr="0099786D" w:rsidRDefault="009E0391" w:rsidP="00E272CB">
            <w:pPr>
              <w:rPr>
                <w:rFonts w:eastAsia="Times New Roman"/>
                <w:b/>
                <w:color w:val="2869A1"/>
                <w:sz w:val="20"/>
                <w:szCs w:val="20"/>
                <w:lang w:val="de-DE" w:eastAsia="de-AT"/>
              </w:rPr>
            </w:pPr>
          </w:p>
        </w:tc>
        <w:tc>
          <w:tcPr>
            <w:tcW w:w="2942" w:type="dxa"/>
            <w:shd w:val="clear" w:color="auto" w:fill="auto"/>
            <w:vAlign w:val="center"/>
          </w:tcPr>
          <w:p w:rsidR="009E0391" w:rsidRPr="0099786D" w:rsidRDefault="009E0391" w:rsidP="00E272CB">
            <w:pPr>
              <w:jc w:val="right"/>
              <w:rPr>
                <w:rFonts w:eastAsia="Times New Roman"/>
                <w:sz w:val="20"/>
                <w:szCs w:val="20"/>
                <w:lang w:val="de-DE" w:eastAsia="de-AT"/>
              </w:rPr>
            </w:pPr>
            <w:r w:rsidRPr="0099786D">
              <w:rPr>
                <w:rFonts w:eastAsia="Times New Roman"/>
                <w:sz w:val="20"/>
                <w:szCs w:val="20"/>
                <w:lang w:val="de-DE" w:eastAsia="de-AT"/>
              </w:rPr>
              <w:t xml:space="preserve">Anzahl von Genotypen </w:t>
            </w:r>
          </w:p>
        </w:tc>
        <w:tc>
          <w:tcPr>
            <w:tcW w:w="1717" w:type="dxa"/>
            <w:shd w:val="clear" w:color="auto" w:fill="auto"/>
            <w:vAlign w:val="center"/>
          </w:tcPr>
          <w:p w:rsidR="009E0391" w:rsidRPr="0099786D" w:rsidRDefault="009E0391" w:rsidP="00E272CB">
            <w:pPr>
              <w:jc w:val="right"/>
              <w:rPr>
                <w:rFonts w:eastAsia="Times New Roman"/>
                <w:sz w:val="20"/>
                <w:szCs w:val="20"/>
                <w:lang w:val="de-DE" w:eastAsia="de-AT"/>
              </w:rPr>
            </w:pPr>
            <w:r w:rsidRPr="0099786D">
              <w:rPr>
                <w:rFonts w:eastAsia="Times New Roman"/>
                <w:sz w:val="20"/>
                <w:szCs w:val="20"/>
                <w:lang w:val="de-DE" w:eastAsia="de-AT"/>
              </w:rPr>
              <w:t>3</w:t>
            </w:r>
          </w:p>
        </w:tc>
        <w:tc>
          <w:tcPr>
            <w:tcW w:w="2288" w:type="dxa"/>
            <w:shd w:val="clear" w:color="auto" w:fill="auto"/>
            <w:vAlign w:val="center"/>
          </w:tcPr>
          <w:p w:rsidR="009E0391" w:rsidRPr="0099786D" w:rsidRDefault="009E0391" w:rsidP="00E272CB">
            <w:pPr>
              <w:jc w:val="right"/>
              <w:rPr>
                <w:rFonts w:eastAsia="Times New Roman"/>
                <w:sz w:val="20"/>
                <w:szCs w:val="20"/>
                <w:lang w:val="de-DE" w:eastAsia="de-AT"/>
              </w:rPr>
            </w:pPr>
            <w:r w:rsidRPr="0099786D">
              <w:rPr>
                <w:rFonts w:eastAsia="Times New Roman"/>
                <w:sz w:val="20"/>
                <w:szCs w:val="20"/>
                <w:lang w:val="de-DE" w:eastAsia="de-AT"/>
              </w:rPr>
              <w:t>3</w:t>
            </w:r>
          </w:p>
        </w:tc>
      </w:tr>
    </w:tbl>
    <w:p w:rsidR="009E0391" w:rsidRPr="0099786D" w:rsidRDefault="009E0391" w:rsidP="009E0391">
      <w:pPr>
        <w:rPr>
          <w:rFonts w:eastAsia="Times New Roman"/>
          <w:lang w:val="de-DE" w:eastAsia="de-DE"/>
        </w:rPr>
      </w:pPr>
    </w:p>
    <w:p w:rsidR="009E0391" w:rsidRDefault="009E0391" w:rsidP="009E0391">
      <w:pPr>
        <w:pStyle w:val="Tabellentitel"/>
      </w:pPr>
      <w:bookmarkStart w:id="76" w:name="_Toc532311570"/>
      <w:bookmarkStart w:id="77" w:name="_Toc7715385"/>
      <w:r>
        <w:t xml:space="preserve">Tabelle </w:t>
      </w:r>
      <w:fldSimple w:instr=" SEQ Tabelle \* ARABIC ">
        <w:r>
          <w:rPr>
            <w:noProof/>
          </w:rPr>
          <w:t>4</w:t>
        </w:r>
      </w:fldSimple>
      <w:r>
        <w:t xml:space="preserve">: </w:t>
      </w:r>
      <w:r w:rsidRPr="0099786D">
        <w:rPr>
          <w:i/>
        </w:rPr>
        <w:t>Metarhizium</w:t>
      </w:r>
      <w:r w:rsidRPr="0099786D">
        <w:t xml:space="preserve"> Stammkollektion: Die Genotypen GT 20 bis GT 26, welche im Rahmen des DIACONT Projektes neu isoliert und charakterisiert wurden. Die Sequenzierung wird zurzeit fortgeführt und soll unsere hausMykothek mit zahlreichen neunen </w:t>
      </w:r>
      <w:r w:rsidRPr="0099786D">
        <w:rPr>
          <w:i/>
        </w:rPr>
        <w:t>Metarhizium</w:t>
      </w:r>
      <w:r w:rsidRPr="0099786D">
        <w:t xml:space="preserve"> Stämmen erweitern.</w:t>
      </w:r>
      <w:bookmarkEnd w:id="76"/>
      <w:bookmarkEnd w:id="77"/>
    </w:p>
    <w:tbl>
      <w:tblPr>
        <w:tblW w:w="8612" w:type="dxa"/>
        <w:jc w:val="right"/>
        <w:tblBorders>
          <w:insideH w:val="single" w:sz="2" w:space="0" w:color="auto"/>
          <w:insideV w:val="single" w:sz="2" w:space="0" w:color="auto"/>
        </w:tblBorders>
        <w:tblLook w:val="00A0" w:firstRow="1" w:lastRow="0" w:firstColumn="1" w:lastColumn="0" w:noHBand="0" w:noVBand="0"/>
      </w:tblPr>
      <w:tblGrid>
        <w:gridCol w:w="1510"/>
        <w:gridCol w:w="1508"/>
        <w:gridCol w:w="636"/>
        <w:gridCol w:w="667"/>
        <w:gridCol w:w="712"/>
        <w:gridCol w:w="774"/>
        <w:gridCol w:w="659"/>
        <w:gridCol w:w="668"/>
        <w:gridCol w:w="1478"/>
      </w:tblGrid>
      <w:tr w:rsidR="009E0391" w:rsidRPr="0099786D" w:rsidTr="00E272CB">
        <w:trPr>
          <w:jc w:val="right"/>
        </w:trPr>
        <w:tc>
          <w:tcPr>
            <w:tcW w:w="1510" w:type="dxa"/>
            <w:vMerge w:val="restart"/>
            <w:shd w:val="clear" w:color="auto" w:fill="auto"/>
            <w:vAlign w:val="center"/>
          </w:tcPr>
          <w:p w:rsidR="009E0391" w:rsidRPr="0099786D" w:rsidRDefault="009E0391" w:rsidP="00E272CB">
            <w:pPr>
              <w:rPr>
                <w:rFonts w:eastAsia="Times New Roman"/>
                <w:b/>
                <w:color w:val="2869A1"/>
                <w:lang w:val="it-IT" w:eastAsia="de-DE"/>
              </w:rPr>
            </w:pPr>
            <w:r w:rsidRPr="0099786D">
              <w:rPr>
                <w:rFonts w:eastAsia="Times New Roman"/>
                <w:b/>
                <w:color w:val="2869A1"/>
                <w:lang w:val="it-IT" w:eastAsia="de-DE"/>
              </w:rPr>
              <w:t>Genotype</w:t>
            </w:r>
          </w:p>
        </w:tc>
        <w:tc>
          <w:tcPr>
            <w:tcW w:w="1508" w:type="dxa"/>
            <w:vMerge w:val="restart"/>
            <w:shd w:val="clear" w:color="auto" w:fill="auto"/>
            <w:vAlign w:val="center"/>
          </w:tcPr>
          <w:p w:rsidR="009E0391" w:rsidRPr="0099786D" w:rsidRDefault="009E0391" w:rsidP="00E272CB">
            <w:pPr>
              <w:jc w:val="right"/>
              <w:rPr>
                <w:rFonts w:eastAsia="Times New Roman"/>
                <w:b/>
                <w:color w:val="2869A1"/>
                <w:lang w:val="it-IT" w:eastAsia="de-DE"/>
              </w:rPr>
            </w:pPr>
            <w:r w:rsidRPr="0099786D">
              <w:rPr>
                <w:rFonts w:eastAsia="Times New Roman"/>
                <w:b/>
                <w:color w:val="2869A1"/>
                <w:lang w:val="it-IT" w:eastAsia="de-DE"/>
              </w:rPr>
              <w:t>Synonyme</w:t>
            </w:r>
          </w:p>
        </w:tc>
        <w:tc>
          <w:tcPr>
            <w:tcW w:w="4116" w:type="dxa"/>
            <w:gridSpan w:val="6"/>
            <w:shd w:val="clear" w:color="auto" w:fill="auto"/>
            <w:vAlign w:val="center"/>
          </w:tcPr>
          <w:p w:rsidR="009E0391" w:rsidRPr="0099786D" w:rsidRDefault="009E0391" w:rsidP="00E272CB">
            <w:pPr>
              <w:jc w:val="right"/>
              <w:rPr>
                <w:rFonts w:eastAsia="Times New Roman"/>
                <w:b/>
                <w:color w:val="2869A1"/>
                <w:lang w:eastAsia="de-DE"/>
              </w:rPr>
            </w:pPr>
            <w:r w:rsidRPr="0099786D">
              <w:rPr>
                <w:rFonts w:eastAsia="Times New Roman"/>
                <w:b/>
                <w:color w:val="2869A1"/>
                <w:lang w:eastAsia="de-DE"/>
              </w:rPr>
              <w:t>Marker (Ma; Sets I und V)</w:t>
            </w:r>
          </w:p>
        </w:tc>
        <w:tc>
          <w:tcPr>
            <w:tcW w:w="1478" w:type="dxa"/>
            <w:vMerge w:val="restart"/>
            <w:shd w:val="clear" w:color="auto" w:fill="auto"/>
            <w:vAlign w:val="center"/>
          </w:tcPr>
          <w:p w:rsidR="009E0391" w:rsidRPr="0099786D" w:rsidRDefault="009E0391" w:rsidP="00E272CB">
            <w:pPr>
              <w:jc w:val="right"/>
              <w:rPr>
                <w:rFonts w:eastAsia="Times New Roman"/>
                <w:b/>
                <w:color w:val="2869A1"/>
                <w:lang w:val="it-IT" w:eastAsia="de-DE"/>
              </w:rPr>
            </w:pPr>
            <w:r w:rsidRPr="0099786D">
              <w:rPr>
                <w:rFonts w:eastAsia="Times New Roman"/>
                <w:b/>
                <w:color w:val="2869A1"/>
                <w:lang w:val="it-IT" w:eastAsia="de-DE"/>
              </w:rPr>
              <w:t>Species</w:t>
            </w:r>
          </w:p>
        </w:tc>
      </w:tr>
      <w:tr w:rsidR="009E0391" w:rsidRPr="0099786D" w:rsidTr="00E272CB">
        <w:trPr>
          <w:jc w:val="right"/>
        </w:trPr>
        <w:tc>
          <w:tcPr>
            <w:tcW w:w="1510" w:type="dxa"/>
            <w:vMerge/>
            <w:shd w:val="clear" w:color="auto" w:fill="auto"/>
            <w:vAlign w:val="center"/>
          </w:tcPr>
          <w:p w:rsidR="009E0391" w:rsidRPr="0099786D" w:rsidRDefault="009E0391" w:rsidP="00E272CB">
            <w:pPr>
              <w:rPr>
                <w:rFonts w:eastAsia="Times New Roman"/>
                <w:b/>
                <w:color w:val="2869A1"/>
                <w:lang w:val="it-IT" w:eastAsia="de-DE"/>
              </w:rPr>
            </w:pPr>
          </w:p>
        </w:tc>
        <w:tc>
          <w:tcPr>
            <w:tcW w:w="1508" w:type="dxa"/>
            <w:vMerge/>
            <w:shd w:val="clear" w:color="auto" w:fill="auto"/>
            <w:vAlign w:val="center"/>
          </w:tcPr>
          <w:p w:rsidR="009E0391" w:rsidRPr="0099786D" w:rsidRDefault="009E0391" w:rsidP="00E272CB">
            <w:pPr>
              <w:jc w:val="right"/>
              <w:rPr>
                <w:rFonts w:eastAsia="Times New Roman"/>
                <w:b/>
                <w:lang w:val="it-IT" w:eastAsia="de-DE"/>
              </w:rPr>
            </w:pPr>
          </w:p>
        </w:tc>
        <w:tc>
          <w:tcPr>
            <w:tcW w:w="636" w:type="dxa"/>
            <w:shd w:val="clear" w:color="auto" w:fill="auto"/>
            <w:vAlign w:val="center"/>
          </w:tcPr>
          <w:p w:rsidR="009E0391" w:rsidRPr="0099786D" w:rsidRDefault="009E0391" w:rsidP="00E272CB">
            <w:pPr>
              <w:jc w:val="right"/>
              <w:rPr>
                <w:rFonts w:eastAsia="Times New Roman"/>
                <w:b/>
                <w:lang w:val="it-IT" w:eastAsia="de-DE"/>
              </w:rPr>
            </w:pPr>
            <w:r w:rsidRPr="0099786D">
              <w:rPr>
                <w:rFonts w:eastAsia="Times New Roman"/>
                <w:b/>
                <w:lang w:val="it-IT" w:eastAsia="de-DE"/>
              </w:rPr>
              <w:t>2049</w:t>
            </w:r>
          </w:p>
        </w:tc>
        <w:tc>
          <w:tcPr>
            <w:tcW w:w="667" w:type="dxa"/>
            <w:shd w:val="clear" w:color="auto" w:fill="auto"/>
            <w:vAlign w:val="center"/>
          </w:tcPr>
          <w:p w:rsidR="009E0391" w:rsidRPr="0099786D" w:rsidRDefault="009E0391" w:rsidP="00E272CB">
            <w:pPr>
              <w:jc w:val="right"/>
              <w:rPr>
                <w:rFonts w:eastAsia="Times New Roman"/>
                <w:b/>
                <w:lang w:val="it-IT" w:eastAsia="de-DE"/>
              </w:rPr>
            </w:pPr>
            <w:r w:rsidRPr="0099786D">
              <w:rPr>
                <w:rFonts w:eastAsia="Times New Roman"/>
                <w:b/>
                <w:lang w:val="it-IT" w:eastAsia="de-DE"/>
              </w:rPr>
              <w:t>2054</w:t>
            </w:r>
          </w:p>
        </w:tc>
        <w:tc>
          <w:tcPr>
            <w:tcW w:w="712" w:type="dxa"/>
            <w:shd w:val="clear" w:color="auto" w:fill="auto"/>
            <w:vAlign w:val="center"/>
          </w:tcPr>
          <w:p w:rsidR="009E0391" w:rsidRPr="0099786D" w:rsidRDefault="009E0391" w:rsidP="00E272CB">
            <w:pPr>
              <w:jc w:val="right"/>
              <w:rPr>
                <w:rFonts w:eastAsia="Times New Roman"/>
                <w:b/>
                <w:lang w:val="it-IT" w:eastAsia="de-DE"/>
              </w:rPr>
            </w:pPr>
            <w:r w:rsidRPr="0099786D">
              <w:rPr>
                <w:rFonts w:eastAsia="Times New Roman"/>
                <w:b/>
                <w:lang w:val="it-IT" w:eastAsia="de-DE"/>
              </w:rPr>
              <w:t>2063</w:t>
            </w:r>
          </w:p>
        </w:tc>
        <w:tc>
          <w:tcPr>
            <w:tcW w:w="774" w:type="dxa"/>
            <w:shd w:val="clear" w:color="auto" w:fill="auto"/>
            <w:vAlign w:val="center"/>
          </w:tcPr>
          <w:p w:rsidR="009E0391" w:rsidRPr="0099786D" w:rsidRDefault="009E0391" w:rsidP="00E272CB">
            <w:pPr>
              <w:jc w:val="right"/>
              <w:rPr>
                <w:rFonts w:eastAsia="Times New Roman"/>
                <w:b/>
                <w:lang w:val="it-IT" w:eastAsia="de-DE"/>
              </w:rPr>
            </w:pPr>
            <w:r w:rsidRPr="0099786D">
              <w:rPr>
                <w:rFonts w:eastAsia="Times New Roman"/>
                <w:b/>
                <w:lang w:val="it-IT" w:eastAsia="de-DE"/>
              </w:rPr>
              <w:t>2287</w:t>
            </w:r>
          </w:p>
        </w:tc>
        <w:tc>
          <w:tcPr>
            <w:tcW w:w="659" w:type="dxa"/>
            <w:shd w:val="clear" w:color="auto" w:fill="auto"/>
            <w:vAlign w:val="center"/>
          </w:tcPr>
          <w:p w:rsidR="009E0391" w:rsidRPr="0099786D" w:rsidRDefault="009E0391" w:rsidP="00E272CB">
            <w:pPr>
              <w:jc w:val="right"/>
              <w:rPr>
                <w:rFonts w:eastAsia="Times New Roman"/>
                <w:b/>
                <w:lang w:val="it-IT" w:eastAsia="de-DE"/>
              </w:rPr>
            </w:pPr>
            <w:r w:rsidRPr="0099786D">
              <w:rPr>
                <w:rFonts w:eastAsia="Times New Roman"/>
                <w:b/>
                <w:lang w:val="it-IT" w:eastAsia="de-DE"/>
              </w:rPr>
              <w:t>327</w:t>
            </w:r>
          </w:p>
        </w:tc>
        <w:tc>
          <w:tcPr>
            <w:tcW w:w="668" w:type="dxa"/>
            <w:shd w:val="clear" w:color="auto" w:fill="auto"/>
            <w:vAlign w:val="center"/>
          </w:tcPr>
          <w:p w:rsidR="009E0391" w:rsidRPr="0099786D" w:rsidRDefault="009E0391" w:rsidP="00E272CB">
            <w:pPr>
              <w:jc w:val="right"/>
              <w:rPr>
                <w:rFonts w:eastAsia="Times New Roman"/>
                <w:b/>
                <w:lang w:val="it-IT" w:eastAsia="de-DE"/>
              </w:rPr>
            </w:pPr>
            <w:r w:rsidRPr="0099786D">
              <w:rPr>
                <w:rFonts w:eastAsia="Times New Roman"/>
                <w:b/>
                <w:lang w:val="it-IT" w:eastAsia="de-DE"/>
              </w:rPr>
              <w:t>195</w:t>
            </w:r>
          </w:p>
        </w:tc>
        <w:tc>
          <w:tcPr>
            <w:tcW w:w="1478" w:type="dxa"/>
            <w:vMerge/>
            <w:shd w:val="clear" w:color="auto" w:fill="auto"/>
            <w:vAlign w:val="center"/>
          </w:tcPr>
          <w:p w:rsidR="009E0391" w:rsidRPr="0099786D" w:rsidRDefault="009E0391" w:rsidP="00E272CB">
            <w:pPr>
              <w:jc w:val="right"/>
              <w:rPr>
                <w:rFonts w:eastAsia="Times New Roman"/>
                <w:b/>
                <w:lang w:val="it-IT" w:eastAsia="de-DE"/>
              </w:rPr>
            </w:pP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it-IT" w:eastAsia="de-DE"/>
              </w:rPr>
            </w:pPr>
            <w:r w:rsidRPr="0099786D">
              <w:rPr>
                <w:rFonts w:ascii="Arial" w:eastAsia="Times New Roman" w:hAnsi="Arial" w:cs="Arial"/>
                <w:b/>
                <w:color w:val="2869A1"/>
                <w:lang w:val="it-IT" w:eastAsia="de-DE"/>
              </w:rPr>
              <w:t>BIPESCO 5</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it-IT" w:eastAsia="de-DE"/>
              </w:rPr>
            </w:pPr>
            <w:r w:rsidRPr="0099786D">
              <w:rPr>
                <w:rFonts w:ascii="Arial" w:eastAsia="Times New Roman" w:hAnsi="Arial" w:cs="Arial"/>
                <w:sz w:val="18"/>
                <w:szCs w:val="18"/>
                <w:lang w:val="it-IT" w:eastAsia="de-DE"/>
              </w:rPr>
              <w:t>F52</w:t>
            </w: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it-IT" w:eastAsia="de-DE"/>
              </w:rPr>
            </w:pPr>
            <w:r w:rsidRPr="0099786D">
              <w:rPr>
                <w:rFonts w:ascii="Arial" w:eastAsia="Times New Roman" w:hAnsi="Arial" w:cs="Arial"/>
                <w:color w:val="000000"/>
                <w:lang w:val="it-IT" w:eastAsia="de-DE"/>
              </w:rPr>
              <w:t>129</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it-IT" w:eastAsia="de-DE"/>
              </w:rPr>
            </w:pPr>
            <w:r w:rsidRPr="0099786D">
              <w:rPr>
                <w:rFonts w:ascii="Arial" w:eastAsia="Times New Roman" w:hAnsi="Arial" w:cs="Arial"/>
                <w:color w:val="000000"/>
                <w:lang w:val="it-IT" w:eastAsia="de-DE"/>
              </w:rPr>
              <w:t>239</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it-IT" w:eastAsia="de-DE"/>
              </w:rPr>
            </w:pPr>
            <w:r w:rsidRPr="0099786D">
              <w:rPr>
                <w:rFonts w:ascii="Arial" w:eastAsia="Times New Roman" w:hAnsi="Arial" w:cs="Arial"/>
                <w:color w:val="000000"/>
                <w:lang w:val="it-IT" w:eastAsia="de-DE"/>
              </w:rPr>
              <w:t>141</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en-GB" w:eastAsia="de-DE"/>
              </w:rPr>
            </w:pPr>
            <w:r w:rsidRPr="0099786D">
              <w:rPr>
                <w:rFonts w:ascii="Arial" w:eastAsia="Times New Roman" w:hAnsi="Arial" w:cs="Arial"/>
                <w:color w:val="000000"/>
                <w:lang w:val="it-IT" w:eastAsia="de-DE"/>
              </w:rPr>
              <w:t>3</w:t>
            </w:r>
            <w:r w:rsidRPr="0099786D">
              <w:rPr>
                <w:rFonts w:ascii="Arial" w:eastAsia="Times New Roman" w:hAnsi="Arial" w:cs="Arial"/>
                <w:color w:val="000000"/>
                <w:lang w:val="en-GB" w:eastAsia="de-DE"/>
              </w:rPr>
              <w:t>00</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en-GB" w:eastAsia="de-DE"/>
              </w:rPr>
            </w:pPr>
            <w:r w:rsidRPr="0099786D">
              <w:rPr>
                <w:rFonts w:ascii="Arial" w:eastAsia="Times New Roman" w:hAnsi="Arial" w:cs="Arial"/>
                <w:color w:val="000000"/>
                <w:lang w:val="en-GB" w:eastAsia="de-DE"/>
              </w:rPr>
              <w:t>211</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en-GB" w:eastAsia="de-DE"/>
              </w:rPr>
            </w:pPr>
            <w:r w:rsidRPr="0099786D">
              <w:rPr>
                <w:rFonts w:ascii="Arial" w:eastAsia="Times New Roman" w:hAnsi="Arial" w:cs="Arial"/>
                <w:color w:val="000000"/>
                <w:lang w:val="en-GB" w:eastAsia="de-DE"/>
              </w:rPr>
              <w:t>120</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en-US" w:eastAsia="de-DE"/>
              </w:rPr>
            </w:pPr>
            <w:r w:rsidRPr="0099786D">
              <w:rPr>
                <w:rFonts w:ascii="Arial" w:eastAsia="Times New Roman" w:hAnsi="Arial" w:cs="Arial"/>
                <w:i/>
                <w:lang w:val="en-US" w:eastAsia="de-DE"/>
              </w:rPr>
              <w:t>M. brunneum</w:t>
            </w: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en-US" w:eastAsia="de-DE"/>
              </w:rPr>
            </w:pPr>
            <w:r w:rsidRPr="0099786D">
              <w:rPr>
                <w:rFonts w:ascii="Arial" w:eastAsia="Times New Roman" w:hAnsi="Arial" w:cs="Arial"/>
                <w:b/>
                <w:color w:val="2869A1"/>
                <w:lang w:val="en-US" w:eastAsia="de-DE"/>
              </w:rPr>
              <w:t>GT 1</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en-US" w:eastAsia="de-DE"/>
              </w:rPr>
            </w:pP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117</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212</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143</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282</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206</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128</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r w:rsidRPr="0099786D">
              <w:rPr>
                <w:rFonts w:ascii="Arial" w:eastAsia="Times New Roman" w:hAnsi="Arial" w:cs="Arial"/>
                <w:i/>
                <w:lang w:val="de-DE" w:eastAsia="de-DE"/>
              </w:rPr>
              <w:t>M. lepidiotae</w:t>
            </w: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2</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r w:rsidRPr="0099786D">
              <w:rPr>
                <w:rFonts w:ascii="Arial" w:eastAsia="Times New Roman" w:hAnsi="Arial" w:cs="Arial"/>
                <w:sz w:val="18"/>
                <w:szCs w:val="18"/>
                <w:lang w:val="de-DE" w:eastAsia="de-DE"/>
              </w:rPr>
              <w:t>D, E</w:t>
            </w: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129</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216</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135</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314</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206</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111</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r w:rsidRPr="0099786D">
              <w:rPr>
                <w:rFonts w:ascii="Arial" w:eastAsia="Times New Roman" w:hAnsi="Arial" w:cs="Arial"/>
                <w:i/>
                <w:lang w:val="de-DE" w:eastAsia="de-DE"/>
              </w:rPr>
              <w:t>M. robertsii</w:t>
            </w: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3</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r w:rsidRPr="0099786D">
              <w:rPr>
                <w:rFonts w:ascii="Arial" w:eastAsia="Times New Roman" w:hAnsi="Arial" w:cs="Arial"/>
                <w:sz w:val="18"/>
                <w:szCs w:val="18"/>
                <w:lang w:val="de-DE" w:eastAsia="de-DE"/>
              </w:rPr>
              <w:t>J</w:t>
            </w: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129</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218</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135</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303</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208</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117</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r w:rsidRPr="0099786D">
              <w:rPr>
                <w:rFonts w:ascii="Arial" w:eastAsia="Times New Roman" w:hAnsi="Arial" w:cs="Arial"/>
                <w:i/>
                <w:lang w:val="de-DE" w:eastAsia="de-DE"/>
              </w:rPr>
              <w:t>M. robertsii</w:t>
            </w: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4</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r w:rsidRPr="0099786D">
              <w:rPr>
                <w:rFonts w:ascii="Arial" w:eastAsia="Times New Roman" w:hAnsi="Arial" w:cs="Arial"/>
                <w:sz w:val="18"/>
                <w:szCs w:val="18"/>
                <w:lang w:val="de-DE" w:eastAsia="de-DE"/>
              </w:rPr>
              <w:t>K, L, M</w:t>
            </w: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129</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218</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135</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303</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208</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148</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r w:rsidRPr="0099786D">
              <w:rPr>
                <w:rFonts w:ascii="Arial" w:eastAsia="Times New Roman" w:hAnsi="Arial" w:cs="Arial"/>
                <w:i/>
                <w:lang w:val="de-DE" w:eastAsia="de-DE"/>
              </w:rPr>
              <w:t>M. robertsii</w:t>
            </w: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5</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r w:rsidRPr="0099786D">
              <w:rPr>
                <w:rFonts w:ascii="Arial" w:eastAsia="Times New Roman" w:hAnsi="Arial" w:cs="Arial"/>
                <w:sz w:val="18"/>
                <w:szCs w:val="18"/>
                <w:lang w:val="de-DE" w:eastAsia="de-DE"/>
              </w:rPr>
              <w:t>H, I</w:t>
            </w: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129</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218</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135</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304</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206</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112</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r w:rsidRPr="0099786D">
              <w:rPr>
                <w:rFonts w:ascii="Arial" w:eastAsia="Times New Roman" w:hAnsi="Arial" w:cs="Arial"/>
                <w:i/>
                <w:lang w:val="de-DE" w:eastAsia="de-DE"/>
              </w:rPr>
              <w:t>M. robertsii</w:t>
            </w: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B</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129</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216</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135</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304</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206</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112</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r w:rsidRPr="0099786D">
              <w:rPr>
                <w:rFonts w:ascii="Arial" w:eastAsia="Times New Roman" w:hAnsi="Arial" w:cs="Arial"/>
                <w:i/>
                <w:lang w:val="de-DE" w:eastAsia="de-DE"/>
              </w:rPr>
              <w:t>M. robertsii</w:t>
            </w: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6</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131</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234</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156</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302</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213</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111</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r w:rsidRPr="0099786D">
              <w:rPr>
                <w:rFonts w:ascii="Arial" w:eastAsia="Times New Roman" w:hAnsi="Arial" w:cs="Arial"/>
                <w:i/>
                <w:lang w:val="de-DE" w:eastAsia="de-DE"/>
              </w:rPr>
              <w:t>M. brunneum</w:t>
            </w: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7</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r w:rsidRPr="0099786D">
              <w:rPr>
                <w:rFonts w:ascii="Arial" w:eastAsia="Times New Roman" w:hAnsi="Arial" w:cs="Arial"/>
                <w:sz w:val="18"/>
                <w:szCs w:val="18"/>
                <w:lang w:val="de-DE" w:eastAsia="de-DE"/>
              </w:rPr>
              <w:t>S</w:t>
            </w: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129</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267</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127</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285</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X</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105</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r w:rsidRPr="0099786D">
              <w:rPr>
                <w:rFonts w:ascii="Arial" w:eastAsia="Times New Roman" w:hAnsi="Arial" w:cs="Arial"/>
                <w:i/>
                <w:lang w:val="de-DE" w:eastAsia="de-DE"/>
              </w:rPr>
              <w:t>M. brunneum</w:t>
            </w: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8</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r w:rsidRPr="0099786D">
              <w:rPr>
                <w:rFonts w:ascii="Arial" w:eastAsia="Times New Roman" w:hAnsi="Arial" w:cs="Arial"/>
                <w:sz w:val="18"/>
                <w:szCs w:val="18"/>
                <w:lang w:val="de-DE" w:eastAsia="de-DE"/>
              </w:rPr>
              <w:t>X</w:t>
            </w: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131</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231</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135</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303</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208</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106</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r w:rsidRPr="0099786D">
              <w:rPr>
                <w:rFonts w:ascii="Arial" w:eastAsia="Times New Roman" w:hAnsi="Arial" w:cs="Arial"/>
                <w:i/>
                <w:lang w:val="de-DE" w:eastAsia="de-DE"/>
              </w:rPr>
              <w:t>M. robertsii</w:t>
            </w: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9</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135</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234</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156</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302</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213</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111</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r w:rsidRPr="0099786D">
              <w:rPr>
                <w:rFonts w:ascii="Arial" w:eastAsia="Times New Roman" w:hAnsi="Arial" w:cs="Arial"/>
                <w:i/>
                <w:lang w:val="de-DE" w:eastAsia="de-DE"/>
              </w:rPr>
              <w:t>M. brunneum</w:t>
            </w: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10</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146</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212</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135</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304</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208</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122</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r w:rsidRPr="0099786D">
              <w:rPr>
                <w:rFonts w:ascii="Arial" w:eastAsia="Times New Roman" w:hAnsi="Arial" w:cs="Arial"/>
                <w:i/>
                <w:lang w:val="de-DE" w:eastAsia="de-DE"/>
              </w:rPr>
              <w:t>M. robertsii</w:t>
            </w: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11</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r w:rsidRPr="0099786D">
              <w:rPr>
                <w:rFonts w:ascii="Arial" w:eastAsia="Times New Roman" w:hAnsi="Arial" w:cs="Arial"/>
                <w:sz w:val="18"/>
                <w:szCs w:val="18"/>
                <w:lang w:val="de-DE" w:eastAsia="de-DE"/>
              </w:rPr>
              <w:t>AA, Q</w:t>
            </w: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166</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218</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135</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304</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208</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106</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r w:rsidRPr="0099786D">
              <w:rPr>
                <w:rFonts w:ascii="Arial" w:eastAsia="Times New Roman" w:hAnsi="Arial" w:cs="Arial"/>
                <w:i/>
                <w:lang w:val="de-DE" w:eastAsia="de-DE"/>
              </w:rPr>
              <w:t>M. robertsii</w:t>
            </w: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12</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117</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213</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142</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304</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207</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111</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r w:rsidRPr="0099786D">
              <w:rPr>
                <w:rFonts w:ascii="Arial" w:eastAsia="Times New Roman" w:hAnsi="Arial" w:cs="Arial"/>
                <w:i/>
                <w:lang w:val="de-DE" w:eastAsia="de-DE"/>
              </w:rPr>
              <w:t>M. lepidiotae</w:t>
            </w: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13</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117</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211</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142</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240</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207</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128</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r w:rsidRPr="0099786D">
              <w:rPr>
                <w:rFonts w:ascii="Arial" w:eastAsia="Times New Roman" w:hAnsi="Arial" w:cs="Arial"/>
                <w:i/>
                <w:lang w:val="de-DE" w:eastAsia="de-DE"/>
              </w:rPr>
              <w:t>M. lepidiotae</w:t>
            </w: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14</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r w:rsidRPr="0099786D">
              <w:rPr>
                <w:rFonts w:ascii="Arial" w:eastAsia="Times New Roman" w:hAnsi="Arial" w:cs="Arial"/>
                <w:sz w:val="18"/>
                <w:szCs w:val="18"/>
                <w:lang w:val="de-DE" w:eastAsia="de-DE"/>
              </w:rPr>
              <w:t>CC</w:t>
            </w: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129</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214</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135</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314</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207</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111</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r w:rsidRPr="0099786D">
              <w:rPr>
                <w:rFonts w:ascii="Arial" w:eastAsia="Times New Roman" w:hAnsi="Arial" w:cs="Arial"/>
                <w:i/>
                <w:lang w:val="de-DE" w:eastAsia="de-DE"/>
              </w:rPr>
              <w:t>M. robertsii</w:t>
            </w: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15</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r w:rsidRPr="0099786D">
              <w:rPr>
                <w:rFonts w:ascii="Arial" w:eastAsia="Times New Roman" w:hAnsi="Arial" w:cs="Arial"/>
                <w:sz w:val="18"/>
                <w:szCs w:val="18"/>
                <w:lang w:val="de-DE" w:eastAsia="de-DE"/>
              </w:rPr>
              <w:t>EaMa 01/58-SU</w:t>
            </w: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137</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251</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128</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287</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X</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105</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r w:rsidRPr="0099786D">
              <w:rPr>
                <w:rFonts w:ascii="Arial" w:eastAsia="Times New Roman" w:hAnsi="Arial" w:cs="Arial"/>
                <w:i/>
                <w:lang w:val="de-DE" w:eastAsia="de-DE"/>
              </w:rPr>
              <w:t>M. brunneum</w:t>
            </w: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Ma 714</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129</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239</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141</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298</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211</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120</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r w:rsidRPr="0099786D">
              <w:rPr>
                <w:rFonts w:ascii="Arial" w:eastAsia="Times New Roman" w:hAnsi="Arial" w:cs="Arial"/>
                <w:i/>
                <w:lang w:val="de-DE" w:eastAsia="de-DE"/>
              </w:rPr>
              <w:t>M. brunneum</w:t>
            </w: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 xml:space="preserve">GT 16 </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131</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234</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135</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303</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208</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106</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17 ?</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129</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243</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141</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297</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211</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120</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18 ?</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r w:rsidRPr="0099786D">
              <w:rPr>
                <w:rFonts w:ascii="Arial" w:eastAsia="Times New Roman" w:hAnsi="Arial" w:cs="Arial"/>
                <w:sz w:val="18"/>
                <w:szCs w:val="18"/>
                <w:lang w:val="de-DE" w:eastAsia="de-DE"/>
              </w:rPr>
              <w:t>BB</w:t>
            </w: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184</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218</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135</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304</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208</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106</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19 ?</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r w:rsidRPr="0099786D">
              <w:rPr>
                <w:rFonts w:ascii="Arial" w:eastAsia="Times New Roman" w:hAnsi="Arial" w:cs="Arial"/>
                <w:sz w:val="18"/>
                <w:szCs w:val="18"/>
                <w:lang w:val="de-DE" w:eastAsia="de-DE"/>
              </w:rPr>
              <w:t>Y</w:t>
            </w: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131</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232</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135</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304</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208</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129</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20</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121</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X</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150</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286</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196</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102</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21?</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129</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218</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135</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303</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207</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108</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22?</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129</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217</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140</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284</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196</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102</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23?</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132</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210</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140</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280</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206</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128</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24?</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117</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210</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142</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283</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206</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128</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25?</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117</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211</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142</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282</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207</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137</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p>
        </w:tc>
      </w:tr>
      <w:tr w:rsidR="009E0391" w:rsidRPr="0099786D" w:rsidTr="00E272CB">
        <w:trPr>
          <w:jc w:val="right"/>
        </w:trPr>
        <w:tc>
          <w:tcPr>
            <w:tcW w:w="1510" w:type="dxa"/>
            <w:shd w:val="clear" w:color="auto" w:fill="auto"/>
            <w:vAlign w:val="center"/>
          </w:tcPr>
          <w:p w:rsidR="009E0391" w:rsidRPr="0099786D" w:rsidRDefault="009E0391" w:rsidP="00E272CB">
            <w:pPr>
              <w:rPr>
                <w:rFonts w:ascii="Arial" w:eastAsia="Times New Roman" w:hAnsi="Arial" w:cs="Arial"/>
                <w:b/>
                <w:color w:val="2869A1"/>
                <w:lang w:val="de-DE" w:eastAsia="de-DE"/>
              </w:rPr>
            </w:pPr>
            <w:r w:rsidRPr="0099786D">
              <w:rPr>
                <w:rFonts w:ascii="Arial" w:eastAsia="Times New Roman" w:hAnsi="Arial" w:cs="Arial"/>
                <w:b/>
                <w:color w:val="2869A1"/>
                <w:lang w:val="de-DE" w:eastAsia="de-DE"/>
              </w:rPr>
              <w:t>GT 26?</w:t>
            </w:r>
          </w:p>
        </w:tc>
        <w:tc>
          <w:tcPr>
            <w:tcW w:w="1508" w:type="dxa"/>
            <w:shd w:val="clear" w:color="auto" w:fill="auto"/>
            <w:vAlign w:val="center"/>
          </w:tcPr>
          <w:p w:rsidR="009E0391" w:rsidRPr="0099786D" w:rsidRDefault="009E0391" w:rsidP="00E272CB">
            <w:pPr>
              <w:jc w:val="right"/>
              <w:rPr>
                <w:rFonts w:ascii="Arial" w:eastAsia="Times New Roman" w:hAnsi="Arial" w:cs="Arial"/>
                <w:sz w:val="18"/>
                <w:szCs w:val="18"/>
                <w:lang w:val="de-DE" w:eastAsia="de-DE"/>
              </w:rPr>
            </w:pPr>
          </w:p>
        </w:tc>
        <w:tc>
          <w:tcPr>
            <w:tcW w:w="636"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133</w:t>
            </w:r>
          </w:p>
        </w:tc>
        <w:tc>
          <w:tcPr>
            <w:tcW w:w="667"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234</w:t>
            </w:r>
          </w:p>
        </w:tc>
        <w:tc>
          <w:tcPr>
            <w:tcW w:w="712"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156</w:t>
            </w:r>
          </w:p>
        </w:tc>
        <w:tc>
          <w:tcPr>
            <w:tcW w:w="774"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302</w:t>
            </w:r>
          </w:p>
        </w:tc>
        <w:tc>
          <w:tcPr>
            <w:tcW w:w="659"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213</w:t>
            </w:r>
          </w:p>
        </w:tc>
        <w:tc>
          <w:tcPr>
            <w:tcW w:w="668" w:type="dxa"/>
            <w:shd w:val="clear" w:color="auto" w:fill="auto"/>
            <w:vAlign w:val="center"/>
          </w:tcPr>
          <w:p w:rsidR="009E0391" w:rsidRPr="0099786D" w:rsidRDefault="009E0391" w:rsidP="00E272CB">
            <w:pPr>
              <w:jc w:val="right"/>
              <w:rPr>
                <w:rFonts w:ascii="Arial" w:eastAsia="Times New Roman" w:hAnsi="Arial" w:cs="Arial"/>
                <w:color w:val="000000"/>
                <w:lang w:val="de-DE" w:eastAsia="de-DE"/>
              </w:rPr>
            </w:pPr>
            <w:r w:rsidRPr="0099786D">
              <w:rPr>
                <w:rFonts w:ascii="Arial" w:eastAsia="Times New Roman" w:hAnsi="Arial" w:cs="Arial"/>
                <w:color w:val="000000"/>
                <w:lang w:val="de-DE" w:eastAsia="de-DE"/>
              </w:rPr>
              <w:t>111</w:t>
            </w:r>
          </w:p>
        </w:tc>
        <w:tc>
          <w:tcPr>
            <w:tcW w:w="1478" w:type="dxa"/>
            <w:shd w:val="clear" w:color="auto" w:fill="auto"/>
            <w:vAlign w:val="center"/>
          </w:tcPr>
          <w:p w:rsidR="009E0391" w:rsidRPr="0099786D" w:rsidRDefault="009E0391" w:rsidP="00E272CB">
            <w:pPr>
              <w:jc w:val="right"/>
              <w:rPr>
                <w:rFonts w:ascii="Arial" w:eastAsia="Times New Roman" w:hAnsi="Arial" w:cs="Arial"/>
                <w:i/>
                <w:lang w:val="de-DE" w:eastAsia="de-DE"/>
              </w:rPr>
            </w:pPr>
          </w:p>
        </w:tc>
      </w:tr>
    </w:tbl>
    <w:p w:rsidR="009E0391" w:rsidRPr="0099786D" w:rsidRDefault="009E0391" w:rsidP="009E0391">
      <w:pPr>
        <w:pStyle w:val="1Unterkapitel"/>
      </w:pPr>
      <w:bookmarkStart w:id="78" w:name="_Toc532311640"/>
      <w:bookmarkStart w:id="79" w:name="_Toc7715571"/>
      <w:r w:rsidRPr="0099786D">
        <w:t>GranMet</w:t>
      </w:r>
      <w:r w:rsidRPr="00550D7E">
        <w:rPr>
          <w:vertAlign w:val="superscript"/>
        </w:rPr>
        <w:t>TM</w:t>
      </w:r>
      <w:r w:rsidRPr="0099786D">
        <w:t>-Anwendungen und seine Konsequenzen</w:t>
      </w:r>
      <w:bookmarkEnd w:id="78"/>
      <w:bookmarkEnd w:id="79"/>
    </w:p>
    <w:p w:rsidR="009E0391" w:rsidRPr="0099786D" w:rsidRDefault="009E0391" w:rsidP="009E0391">
      <w:pPr>
        <w:pStyle w:val="Flietext"/>
      </w:pPr>
      <w:r w:rsidRPr="0099786D">
        <w:t xml:space="preserve">Mit Hilfe der multivariaten CANOCO Analysenmethode konnte aufgezeigt werden, dass unabhängig von den abiotischen und biotischen Umweltfaktoren (u. a. Standort, Bodentyp und Bodentextur bzw. </w:t>
      </w:r>
      <w:r w:rsidRPr="001D3CB3">
        <w:t xml:space="preserve">Bodenmikrobiom), die </w:t>
      </w:r>
      <w:r w:rsidRPr="001D3CB3">
        <w:rPr>
          <w:i/>
        </w:rPr>
        <w:t>Metarhizium</w:t>
      </w:r>
      <w:r w:rsidRPr="001D3CB3">
        <w:t>-Dichte im Boden sowohl durch die GranMet</w:t>
      </w:r>
      <w:r w:rsidRPr="001D3CB3">
        <w:rPr>
          <w:vertAlign w:val="superscript"/>
        </w:rPr>
        <w:t>TM</w:t>
      </w:r>
      <w:r w:rsidRPr="001D3CB3">
        <w:t xml:space="preserve">-Anwendungen selbst als auch durch die Mehrfachanwendung des Produktes, signifikant in der Steiermark und in Tirol gesteigert werden konnte (Abbildung </w:t>
      </w:r>
      <w:r w:rsidR="00541975" w:rsidRPr="001D3CB3">
        <w:t>13</w:t>
      </w:r>
      <w:r w:rsidRPr="001D3CB3">
        <w:t>). Schon durch</w:t>
      </w:r>
      <w:r w:rsidRPr="0099786D">
        <w:t xml:space="preserve"> eine </w:t>
      </w:r>
      <w:r>
        <w:t xml:space="preserve">einzige </w:t>
      </w:r>
      <w:r w:rsidRPr="0099786D">
        <w:t>Behandlung mit dem Wirkstoff Pilz GranMet</w:t>
      </w:r>
      <w:r w:rsidRPr="0099786D">
        <w:rPr>
          <w:vertAlign w:val="superscript"/>
        </w:rPr>
        <w:t>TM</w:t>
      </w:r>
      <w:r w:rsidRPr="0099786D">
        <w:t xml:space="preserve"> wird eine nachhaltige, gleichmäßige </w:t>
      </w:r>
      <w:r w:rsidRPr="0099786D">
        <w:rPr>
          <w:i/>
        </w:rPr>
        <w:t>Metarhizium</w:t>
      </w:r>
      <w:r w:rsidRPr="0099786D">
        <w:t>-</w:t>
      </w:r>
      <w:r>
        <w:t>Dichte im Boden sichergestellt.</w:t>
      </w:r>
    </w:p>
    <w:p w:rsidR="009E0391" w:rsidRPr="0099786D" w:rsidRDefault="009E0391" w:rsidP="009E0391">
      <w:pPr>
        <w:spacing w:before="270" w:line="276" w:lineRule="auto"/>
        <w:jc w:val="center"/>
        <w:rPr>
          <w:rFonts w:eastAsia="Times New Roman"/>
          <w:color w:val="000000"/>
        </w:rPr>
      </w:pPr>
      <w:r w:rsidRPr="0099786D">
        <w:rPr>
          <w:rFonts w:eastAsia="Times New Roman"/>
          <w:noProof/>
          <w:color w:val="000000"/>
          <w:lang w:eastAsia="de-AT"/>
        </w:rPr>
        <w:drawing>
          <wp:inline distT="0" distB="0" distL="0" distR="0" wp14:anchorId="0FF6E6FE" wp14:editId="0E084876">
            <wp:extent cx="3076575" cy="5695950"/>
            <wp:effectExtent l="0" t="0" r="9525" b="0"/>
            <wp:docPr id="9264" name="Grafik 9264" descr="GranMet_Applikation_Häufigkeit_Diac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ranMet_Applikation_Häufigkeit_Diacont"/>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076575" cy="5695950"/>
                    </a:xfrm>
                    <a:prstGeom prst="rect">
                      <a:avLst/>
                    </a:prstGeom>
                    <a:noFill/>
                    <a:ln>
                      <a:noFill/>
                    </a:ln>
                  </pic:spPr>
                </pic:pic>
              </a:graphicData>
            </a:graphic>
          </wp:inline>
        </w:drawing>
      </w:r>
    </w:p>
    <w:p w:rsidR="009E0391" w:rsidRDefault="009E0391" w:rsidP="009E0391">
      <w:pPr>
        <w:pStyle w:val="Beschriftung"/>
        <w:rPr>
          <w:rFonts w:eastAsia="CambriaMath"/>
        </w:rPr>
      </w:pPr>
      <w:bookmarkStart w:id="80" w:name="_Toc532311593"/>
      <w:bookmarkStart w:id="81" w:name="_Toc7715404"/>
      <w:r>
        <w:t xml:space="preserve">Abbildung </w:t>
      </w:r>
      <w:fldSimple w:instr=" SEQ Abbildung \* ARABIC ">
        <w:r>
          <w:rPr>
            <w:noProof/>
          </w:rPr>
          <w:t>13</w:t>
        </w:r>
      </w:fldSimple>
      <w:r>
        <w:t>:</w:t>
      </w:r>
      <w:r w:rsidRPr="0099786D">
        <w:t xml:space="preserve"> Metarhizium-Abundanz in Abhängigkeit der Produktapplikation (GranMet</w:t>
      </w:r>
      <w:r w:rsidRPr="0099786D">
        <w:rPr>
          <w:vertAlign w:val="superscript"/>
        </w:rPr>
        <w:t>TM</w:t>
      </w:r>
      <w:r w:rsidRPr="0099786D">
        <w:t xml:space="preserve">) und Applikationshäufigkeit. Canonische </w:t>
      </w:r>
      <w:r w:rsidRPr="0008534E">
        <w:t>Korrespondenzanalyse</w:t>
      </w:r>
      <w:r w:rsidRPr="0099786D">
        <w:t xml:space="preserve"> als Funktion der Behandlungen (2013 bis 2015, INBIOSOIL Studie) und Datensatz von Versuchsstandorten in der Steiermark und Tirol (2015-2018, DIACONT Studie). Monte Carlo Permuationstest, p=0,02). Datenbasis: Abundanzwerte von Metahrizium in Abhängigkeit des Standortes und der Bodentextur; e</w:t>
      </w:r>
      <w:r w:rsidRPr="0099786D">
        <w:rPr>
          <w:rFonts w:eastAsia="TimesNewRomanPSMT"/>
        </w:rPr>
        <w:t xml:space="preserve">in bis mehrfach behandelte Standorte, sowie </w:t>
      </w:r>
      <w:r w:rsidRPr="0099786D">
        <w:rPr>
          <w:rFonts w:eastAsia="CambriaMath"/>
        </w:rPr>
        <w:t>unbehandelete Kontrollflachen</w:t>
      </w:r>
      <w:bookmarkEnd w:id="80"/>
      <w:bookmarkEnd w:id="81"/>
    </w:p>
    <w:p w:rsidR="009E0391" w:rsidRDefault="009E0391" w:rsidP="009E0391">
      <w:pPr>
        <w:pStyle w:val="Beschriftung"/>
        <w:rPr>
          <w:rFonts w:eastAsia="CambriaMath"/>
        </w:rPr>
        <w:sectPr w:rsidR="009E0391" w:rsidSect="008951AF">
          <w:headerReference w:type="default" r:id="rId51"/>
          <w:headerReference w:type="first" r:id="rId52"/>
          <w:pgSz w:w="11900" w:h="16840"/>
          <w:pgMar w:top="1361" w:right="1361" w:bottom="1361" w:left="1361" w:header="680" w:footer="680" w:gutter="0"/>
          <w:cols w:space="708"/>
          <w:titlePg/>
        </w:sectPr>
      </w:pPr>
      <w:r w:rsidRPr="0099786D">
        <w:rPr>
          <w:rFonts w:eastAsia="CambriaMath"/>
        </w:rPr>
        <w:t>.</w:t>
      </w:r>
    </w:p>
    <w:p w:rsidR="001A14FB" w:rsidRDefault="0042516F" w:rsidP="001A14FB">
      <w:pPr>
        <w:pStyle w:val="berschrift2Grad"/>
        <w:rPr>
          <w:rStyle w:val="Einleitung"/>
          <w:rFonts w:eastAsiaTheme="minorEastAsia" w:cs="Times New Roman"/>
        </w:rPr>
      </w:pPr>
      <w:bookmarkStart w:id="82" w:name="_Toc7715572"/>
      <w:r>
        <w:rPr>
          <w:rStyle w:val="Einleitung"/>
          <w:rFonts w:eastAsiaTheme="minorEastAsia" w:cs="Times New Roman"/>
        </w:rPr>
        <w:t>Insektenpathogene Nematoden (</w:t>
      </w:r>
      <w:r w:rsidRPr="0042516F">
        <w:rPr>
          <w:rStyle w:val="Einleitung"/>
          <w:rFonts w:eastAsiaTheme="minorEastAsia" w:cs="Times New Roman"/>
          <w:i/>
        </w:rPr>
        <w:t>Heterorhabditis bacteriophora</w:t>
      </w:r>
      <w:r>
        <w:rPr>
          <w:rStyle w:val="Einleitung"/>
          <w:rFonts w:eastAsiaTheme="minorEastAsia" w:cs="Times New Roman"/>
        </w:rPr>
        <w:t>)</w:t>
      </w:r>
      <w:r w:rsidR="00BE36E2">
        <w:rPr>
          <w:rStyle w:val="Einleitung"/>
          <w:rFonts w:eastAsiaTheme="minorEastAsia" w:cs="Times New Roman"/>
        </w:rPr>
        <w:t>- D</w:t>
      </w:r>
      <w:r w:rsidR="00BE36E2" w:rsidRPr="001A14FB">
        <w:rPr>
          <w:rStyle w:val="Einleitung"/>
          <w:rFonts w:eastAsiaTheme="minorEastAsia" w:cs="Times New Roman"/>
        </w:rPr>
        <w:t>ianem®</w:t>
      </w:r>
      <w:bookmarkEnd w:id="82"/>
    </w:p>
    <w:p w:rsidR="006549C8" w:rsidRDefault="00BE36E2" w:rsidP="006549C8">
      <w:pPr>
        <w:pStyle w:val="1Unterkapitel"/>
      </w:pPr>
      <w:bookmarkStart w:id="83" w:name="_Toc7715573"/>
      <w:r>
        <w:t>Untersuchung des produktes dianem</w:t>
      </w:r>
      <w:bookmarkEnd w:id="83"/>
    </w:p>
    <w:p w:rsidR="00190155" w:rsidRDefault="00190155" w:rsidP="00190155">
      <w:pPr>
        <w:pStyle w:val="Flietext"/>
        <w:spacing w:before="0"/>
        <w:rPr>
          <w:color w:val="auto"/>
        </w:rPr>
      </w:pPr>
    </w:p>
    <w:p w:rsidR="00190155" w:rsidRDefault="00190155" w:rsidP="00190155">
      <w:pPr>
        <w:pStyle w:val="Flietext"/>
        <w:spacing w:before="0"/>
        <w:jc w:val="both"/>
        <w:rPr>
          <w:color w:val="auto"/>
        </w:rPr>
      </w:pPr>
      <w:r w:rsidRPr="00190155">
        <w:rPr>
          <w:color w:val="auto"/>
        </w:rPr>
        <w:t>Insektenpathogene Nematoden (Heterorhabditis bacteriophora) sind s</w:t>
      </w:r>
      <w:r>
        <w:rPr>
          <w:color w:val="auto"/>
        </w:rPr>
        <w:t xml:space="preserve">eit 2013 unter dem Produktnamen </w:t>
      </w:r>
      <w:r w:rsidRPr="00190155">
        <w:rPr>
          <w:color w:val="auto"/>
        </w:rPr>
        <w:t>Dianem® (Pfl.Reg Nr. 3318) in Österreich als biologische Alternative zu c</w:t>
      </w:r>
      <w:r>
        <w:rPr>
          <w:color w:val="auto"/>
        </w:rPr>
        <w:t xml:space="preserve">hemischen Pflanzenschutzmitteln </w:t>
      </w:r>
      <w:r w:rsidRPr="00190155">
        <w:rPr>
          <w:color w:val="auto"/>
        </w:rPr>
        <w:t>zugelassen, um die Larven des Maiswurzelbohrers Diabrotica virgife</w:t>
      </w:r>
      <w:r>
        <w:rPr>
          <w:color w:val="auto"/>
        </w:rPr>
        <w:t xml:space="preserve">ra nachhaltig zu bekämpfen. Das </w:t>
      </w:r>
      <w:r w:rsidRPr="00190155">
        <w:rPr>
          <w:color w:val="auto"/>
        </w:rPr>
        <w:t>Produkt wird jedoch von Landwirten nur in relativ geringem Ausm</w:t>
      </w:r>
      <w:r>
        <w:rPr>
          <w:color w:val="auto"/>
        </w:rPr>
        <w:t xml:space="preserve">aß angenommen. Dies hängt unter </w:t>
      </w:r>
      <w:r w:rsidRPr="00190155">
        <w:rPr>
          <w:color w:val="auto"/>
        </w:rPr>
        <w:t>anderem mit seiner nur als mittelmäßig betrachteten Wirkungssich</w:t>
      </w:r>
      <w:r>
        <w:rPr>
          <w:color w:val="auto"/>
        </w:rPr>
        <w:t xml:space="preserve">erheit zusammen. Die im Projekt </w:t>
      </w:r>
      <w:r w:rsidRPr="00190155">
        <w:rPr>
          <w:color w:val="auto"/>
        </w:rPr>
        <w:t>vorgesehene Analyse konkreter Einzelanwendungen - sowohl mitt</w:t>
      </w:r>
      <w:r>
        <w:rPr>
          <w:color w:val="auto"/>
        </w:rPr>
        <w:t xml:space="preserve">els Fragebogen und persönlichen </w:t>
      </w:r>
      <w:r w:rsidRPr="00190155">
        <w:rPr>
          <w:color w:val="auto"/>
        </w:rPr>
        <w:t>Gesprächen, als auch in Feldversuchen - soll Informationen liefern, welche Faktoren die Wirksamk</w:t>
      </w:r>
      <w:r>
        <w:rPr>
          <w:color w:val="auto"/>
        </w:rPr>
        <w:t xml:space="preserve">eit von </w:t>
      </w:r>
      <w:r w:rsidRPr="00190155">
        <w:rPr>
          <w:color w:val="auto"/>
        </w:rPr>
        <w:t>Dianem maßgeblich beeinflussen. Durch die Testung vieler unterschie</w:t>
      </w:r>
      <w:r>
        <w:rPr>
          <w:color w:val="auto"/>
        </w:rPr>
        <w:t xml:space="preserve">dlicher Anwendungsmethoden soll </w:t>
      </w:r>
      <w:r w:rsidRPr="00190155">
        <w:rPr>
          <w:color w:val="auto"/>
        </w:rPr>
        <w:t>eine Matrix entwickelt werden, die zielsicher zu den richtigen flankieren</w:t>
      </w:r>
      <w:r>
        <w:rPr>
          <w:color w:val="auto"/>
        </w:rPr>
        <w:t xml:space="preserve">den Maßnahmen und den optimalen </w:t>
      </w:r>
      <w:r w:rsidRPr="00190155">
        <w:rPr>
          <w:color w:val="auto"/>
        </w:rPr>
        <w:t>Pflanzenschutzeinsatz führen soll. Eine verbesserte Beratung in B</w:t>
      </w:r>
      <w:r>
        <w:rPr>
          <w:color w:val="auto"/>
        </w:rPr>
        <w:t xml:space="preserve">ezug auf die Wirkungssicherheit </w:t>
      </w:r>
      <w:r w:rsidRPr="00190155">
        <w:rPr>
          <w:color w:val="auto"/>
        </w:rPr>
        <w:t>biologischer Lösungen würde ebenfalls zu einer verbesserten Akzeptanz dieses Mittels führen.</w:t>
      </w:r>
    </w:p>
    <w:p w:rsidR="006549C8" w:rsidRDefault="00402D84" w:rsidP="006549C8">
      <w:pPr>
        <w:pStyle w:val="11Unterkapitel"/>
      </w:pPr>
      <w:bookmarkStart w:id="84" w:name="_Toc7715574"/>
      <w:r>
        <w:t>zusammenfassung der ergebnisse von 2016 und 2017</w:t>
      </w:r>
      <w:bookmarkEnd w:id="84"/>
    </w:p>
    <w:p w:rsidR="006549C8" w:rsidRPr="008B5DEA" w:rsidRDefault="006549C8" w:rsidP="00447BB7">
      <w:pPr>
        <w:pStyle w:val="Flietext"/>
        <w:jc w:val="both"/>
        <w:rPr>
          <w:color w:val="auto"/>
          <w:lang w:eastAsia="de-DE"/>
        </w:rPr>
      </w:pPr>
      <w:r w:rsidRPr="008B5DEA">
        <w:rPr>
          <w:color w:val="auto"/>
        </w:rPr>
        <w:t>2016 und 2017 wurden in Feld- und Streifenversuchen die Wirkung des Einsatzes des biologischen Pflanzenschutzmittels Dianem</w:t>
      </w:r>
      <w:r w:rsidRPr="008B5DEA">
        <w:rPr>
          <w:color w:val="auto"/>
          <w:lang w:eastAsia="de-DE"/>
        </w:rPr>
        <w:t>®</w:t>
      </w:r>
      <w:r w:rsidRPr="008B5DEA">
        <w:rPr>
          <w:color w:val="auto"/>
        </w:rPr>
        <w:t xml:space="preserve"> untersucht. Um die Käferdichte zu bestimmen, wurden die Resultate von sieben verschiedene Fang- und Auszählungsmethoden verglichen. Ziel war es, eine einfache und schnell durchzuführende Methode für den Praktiker zu finden, um notfalls bei hohem Käferdruck eine zusätzliche Pflanzenschutzmaßnahme vornehmen zu können. Der Käferschlupf in Schlupfzelten, Käfermonitoring mit transparenten Fangtafeln der ungarischen Firma Csalomon® und die Lagerungsbonitur zeigten eine gute Korrelation mit den Erntedaten. Die Käferdichten lagen standortabhängig in unbehandelten Flächen bei durchschnittlich 67 - 87 Individuen pro m². Durch Einsatz von Dianem® konnte dieser Wert um 10 – 70 % verringert werden, mit dem Insektizid Belem hingegen nur um 4 – 26 %. Damit konnte durch den Einsatz von Dianem</w:t>
      </w:r>
      <w:r w:rsidRPr="008B5DEA">
        <w:rPr>
          <w:color w:val="auto"/>
          <w:lang w:eastAsia="de-DE"/>
        </w:rPr>
        <w:t>®</w:t>
      </w:r>
      <w:r w:rsidRPr="008B5DEA">
        <w:rPr>
          <w:color w:val="auto"/>
        </w:rPr>
        <w:t xml:space="preserve"> ein um durchschnittlich 21,4% bzw. 10% höherer Ernteertrag erzielt werden als durch den Einsatz des chemischen Pflanzenschutzmittels Belem und in der unbehandelten Kontrolle. Dieses Ergebnis belegt die gute Wirksamkeit von Dianem</w:t>
      </w:r>
      <w:r w:rsidRPr="008B5DEA">
        <w:rPr>
          <w:color w:val="auto"/>
          <w:lang w:eastAsia="de-DE"/>
        </w:rPr>
        <w:t>® in der Region Südoststeiermark. Die Kombination von Dianem® mit dem biologischen Bodenhilfsstoff Rhizovital®42 im Jahr 2016 brachte keinen Mehrertrag gegenüber der Dianem® Variante.</w:t>
      </w:r>
    </w:p>
    <w:p w:rsidR="006549C8" w:rsidRPr="008B5DEA" w:rsidRDefault="006549C8" w:rsidP="00447BB7">
      <w:pPr>
        <w:pStyle w:val="Flietext"/>
        <w:jc w:val="both"/>
        <w:rPr>
          <w:color w:val="auto"/>
        </w:rPr>
      </w:pPr>
      <w:r w:rsidRPr="008B5DEA">
        <w:rPr>
          <w:color w:val="auto"/>
        </w:rPr>
        <w:t>Zu Kulturbeginn durchgeführte Versuche zum Nachweis der Persistenz der ausgebrachten insektenpathogenen Nematoden im Boden bestätigten eine gute Aktivität dieser Nützlinge. Im Methodenvergleich nach Pilz (Pilz et. al, 2012) bzw. nach Preissler 2005 (präparierte Falcon-Tubes) erwies sich ersterer als sehr gut geeignet für den Nachweis der Nematodenaktivität.</w:t>
      </w:r>
    </w:p>
    <w:p w:rsidR="006549C8" w:rsidRPr="008B5DEA" w:rsidRDefault="006549C8" w:rsidP="00447BB7">
      <w:pPr>
        <w:pStyle w:val="Flietext"/>
        <w:jc w:val="both"/>
        <w:rPr>
          <w:color w:val="auto"/>
        </w:rPr>
      </w:pPr>
      <w:r w:rsidRPr="008B5DEA">
        <w:rPr>
          <w:color w:val="auto"/>
        </w:rPr>
        <w:t xml:space="preserve">Landwirte mit Maisanbau in der Südoststeiermark, die entompathogene Nematoden zur Bekämpfung von </w:t>
      </w:r>
      <w:r w:rsidRPr="008B5DEA">
        <w:rPr>
          <w:i/>
          <w:color w:val="auto"/>
        </w:rPr>
        <w:t>D. virgifera</w:t>
      </w:r>
      <w:r w:rsidRPr="008B5DEA">
        <w:rPr>
          <w:color w:val="auto"/>
        </w:rPr>
        <w:t xml:space="preserve"> einsetzen, wurden in den Jahren 2015 bis 2017 zur Befallssituation ihrer Maisäcker durch den Maiswurzelbohrer und angewandten Bekämpfungsmaßnahmen befragt. Von Interesse waren der Befall des Vorjahres, Befallsgrad der diesjährigen Kultur, der Prozentsatz liegender Pflanzen (Lagerung), Maissorte, Anbautermin, Pflanzenschutzmaßnahmen, Vorfrüchte, Bekämpfungsmaßnahmen in den Vorjahren, umliegende Kulturen, Bodenart und Düngung. Für die Auswertung standen 110 Datensätze von 11 Landwirten zu Verfügung. In 78 % der Fälle wurde zur Bekämpfung der Larven im Boden Dianem</w:t>
      </w:r>
      <w:r w:rsidRPr="008B5DEA">
        <w:rPr>
          <w:color w:val="auto"/>
          <w:lang w:eastAsia="de-DE"/>
        </w:rPr>
        <w:t xml:space="preserve">® </w:t>
      </w:r>
      <w:r w:rsidRPr="008B5DEA">
        <w:rPr>
          <w:color w:val="auto"/>
        </w:rPr>
        <w:t xml:space="preserve">solo und in 9 % der Fälle in Kombination mit einer weiteren Bekämpfungsmaßnahme (Bodenbearbeitung, Insektizide aus der Gruppe der Neonikotinoide Biscaya bzw. Mospilan gegen den adulten Käfer, Verwirrung mit dem Pheromonprodukt Corn Protect) auch im Folgejahr eingesetzt. In 1 % der Fälle war der Bekämpfungserfolg Dianems nicht überzeugend und ein Wechsel zur chemischen Alternative Belem die Folge. Während der dreijährigen Beobachtungsperiode nahmen sowohl der Befallsgrad als auch Lagerungsschäden zu. Durch Einhaltung der Fruchtfolge konnten Befall und Lagerungsschäden reduziert werden. Ab 3 Jahren Zwischenfrucht konnten im ersten Maisjahr keine Lagerung mehr beobachtet werden. Nach einem Jahr Zwischenfrucht war die Lagerung bereits um 57 % geringer als beim Anbau Mais auf Mais. Die Wichtigkeit der Sortenwahl in Bezug auf Standfestigkeit belegte die signifikant hohe Lagerungsanfälligkeit der Sorte Memoxx. Die Sorten Ferarixx und Conexxion wiesen auch bei Trockenheit sehr gute Standfestigkeit auf. Ihnen gegenüber zeigten die Sorten MAS 40 F und MAS 47 P leicht erhöhte Lagerungsneigung.  </w:t>
      </w:r>
    </w:p>
    <w:p w:rsidR="006549C8" w:rsidRPr="008B5DEA" w:rsidRDefault="006549C8" w:rsidP="00447BB7">
      <w:pPr>
        <w:pStyle w:val="Flietext"/>
        <w:jc w:val="both"/>
        <w:rPr>
          <w:color w:val="auto"/>
        </w:rPr>
      </w:pPr>
      <w:r w:rsidRPr="008B5DEA">
        <w:rPr>
          <w:color w:val="auto"/>
        </w:rPr>
        <w:t>In Gesprächen mit Herrn Ing. Jost, Maisbauer und externer Projektbeteiligter aus dem steirischen Murtal mit 6-jähriger Erfahrung in der biologischen Maiswurzelbohrer-Bekämpfung</w:t>
      </w:r>
      <w:r w:rsidR="008B5DEA" w:rsidRPr="008B5DEA">
        <w:rPr>
          <w:color w:val="auto"/>
        </w:rPr>
        <w:t>,</w:t>
      </w:r>
      <w:r w:rsidRPr="008B5DEA">
        <w:rPr>
          <w:color w:val="auto"/>
        </w:rPr>
        <w:t xml:space="preserve"> wurden die Haupteinflussfaktoren auf </w:t>
      </w:r>
      <w:r w:rsidRPr="008B5DEA">
        <w:rPr>
          <w:i/>
          <w:color w:val="auto"/>
        </w:rPr>
        <w:t>D. virgifera</w:t>
      </w:r>
      <w:r w:rsidRPr="008B5DEA">
        <w:rPr>
          <w:color w:val="auto"/>
        </w:rPr>
        <w:t xml:space="preserve"> wie folgt gewichtet: 30-40 % Maissorte, 30-40 % Pflanzenschutzmaßnahme und 20 % Fruchtfolge. </w:t>
      </w:r>
    </w:p>
    <w:p w:rsidR="006549C8" w:rsidRPr="008B5DEA" w:rsidRDefault="006549C8" w:rsidP="00447BB7">
      <w:pPr>
        <w:pStyle w:val="Flietext"/>
        <w:jc w:val="both"/>
        <w:rPr>
          <w:color w:val="auto"/>
        </w:rPr>
      </w:pPr>
      <w:r w:rsidRPr="008B5DEA">
        <w:rPr>
          <w:color w:val="auto"/>
        </w:rPr>
        <w:t xml:space="preserve">Die Ergebnisse des vorliegenden Versuche und Auswertungen stimmen </w:t>
      </w:r>
      <w:r w:rsidR="008B5DEA" w:rsidRPr="008B5DEA">
        <w:rPr>
          <w:color w:val="auto"/>
        </w:rPr>
        <w:t>zum Großteil</w:t>
      </w:r>
      <w:r w:rsidRPr="008B5DEA">
        <w:rPr>
          <w:color w:val="auto"/>
        </w:rPr>
        <w:t xml:space="preserve"> gut mit den Beobachtungen von Herrn Jost überein. Die Wichtigkeit der Wahl der Maissorte ließ sich statistisch belegen. Die direkte positive Auswirkung der Pflanzenschutzmaßnahme Dianem</w:t>
      </w:r>
      <w:r w:rsidRPr="008B5DEA">
        <w:rPr>
          <w:color w:val="auto"/>
          <w:lang w:eastAsia="de-DE"/>
        </w:rPr>
        <w:t>®</w:t>
      </w:r>
      <w:r w:rsidRPr="008B5DEA">
        <w:rPr>
          <w:color w:val="auto"/>
        </w:rPr>
        <w:t xml:space="preserve"> konnte über die Reduktion der Käferzahlen und die Erhöhung der Erntewerte dargestellt werden. Nach der Fragenbogenauswertung muss jedoch trotz kleinräumiger Landwirtschaft in der Südoststeiermark der Einfluss des Fruchtwechsels höher eingestuft werden, da trotz jährlich steigendem Befallsgrad bei Einhaltung des Fruchtfolgewechsels eine deutliche Verminderung der Lagerungsschäden zu verzeichnen war.</w:t>
      </w:r>
    </w:p>
    <w:p w:rsidR="006549C8" w:rsidRPr="008B5DEA" w:rsidRDefault="006549C8" w:rsidP="00447BB7">
      <w:pPr>
        <w:pStyle w:val="Flietext"/>
        <w:jc w:val="both"/>
        <w:rPr>
          <w:color w:val="auto"/>
        </w:rPr>
      </w:pPr>
      <w:r w:rsidRPr="008B5DEA">
        <w:rPr>
          <w:color w:val="auto"/>
        </w:rPr>
        <w:t>So belegen Versuche und Auswertungen die gute Wirkung der insektenpathogenen Nematoden. Das Produkt ist seit 2013 als Pflanzenschutzmittel registriert und am Markt verfügbar. Die Technik für die Ausbringung ist vorhanden und wird ab einem Einsatz auf 25 Hektar gefördert. Obwohl die bessere Wirkung gegenüber der chemischen Alternative Belem statistisch belegt wurde, scheint das Problem der Wirtschaftlichkeit (Umrüstungskosten, höhere Produktkosten als die chemische Alternative) eine Hemmschwelle für den Umstieg auf die biologische Larvenbekämpfung darzustellen.</w:t>
      </w:r>
    </w:p>
    <w:p w:rsidR="00402D84" w:rsidRDefault="00B877FC" w:rsidP="00BE36E2">
      <w:pPr>
        <w:pStyle w:val="11Unterkapitel"/>
      </w:pPr>
      <w:bookmarkStart w:id="85" w:name="_Toc7715575"/>
      <w:r>
        <w:t>Versuchsstandorte und produkte</w:t>
      </w:r>
      <w:bookmarkEnd w:id="85"/>
    </w:p>
    <w:p w:rsidR="00402D84" w:rsidRDefault="00402D84" w:rsidP="00B877FC">
      <w:pPr>
        <w:pStyle w:val="Flietext"/>
        <w:jc w:val="both"/>
        <w:rPr>
          <w:lang w:eastAsia="de-DE"/>
        </w:rPr>
      </w:pPr>
      <w:r>
        <w:t xml:space="preserve">Sämtliche Untersuchungen </w:t>
      </w:r>
      <w:r w:rsidRPr="00D54F09">
        <w:rPr>
          <w:color w:val="auto"/>
        </w:rPr>
        <w:t>zur Wirku</w:t>
      </w:r>
      <w:r>
        <w:rPr>
          <w:color w:val="auto"/>
        </w:rPr>
        <w:t>ng insektenpathogener Nematoden</w:t>
      </w:r>
      <w:r>
        <w:rPr>
          <w:color w:val="auto"/>
          <w:lang w:eastAsia="de-DE"/>
        </w:rPr>
        <w:t xml:space="preserve"> </w:t>
      </w:r>
      <w:r w:rsidRPr="00D54F09">
        <w:rPr>
          <w:color w:val="auto"/>
          <w:lang w:eastAsia="de-DE"/>
        </w:rPr>
        <w:t xml:space="preserve">fanden </w:t>
      </w:r>
      <w:r>
        <w:rPr>
          <w:lang w:eastAsia="de-DE"/>
        </w:rPr>
        <w:t xml:space="preserve">in Feldern der Steirischen Bezirke Südoststeiermark und Leibnitz statt. Insektenpathogene Nematoden der Art </w:t>
      </w:r>
      <w:r w:rsidRPr="00B01BE3">
        <w:rPr>
          <w:i/>
          <w:lang w:eastAsia="de-DE"/>
        </w:rPr>
        <w:t>Heterorhabditis bacteriophora</w:t>
      </w:r>
      <w:r>
        <w:rPr>
          <w:lang w:eastAsia="de-DE"/>
        </w:rPr>
        <w:t xml:space="preserve"> (</w:t>
      </w:r>
      <w:r>
        <w:rPr>
          <w:color w:val="auto"/>
          <w:lang w:eastAsia="de-DE"/>
        </w:rPr>
        <w:t>Dianem®, Pfl.</w:t>
      </w:r>
      <w:r w:rsidRPr="00D54F09">
        <w:rPr>
          <w:color w:val="auto"/>
        </w:rPr>
        <w:t>Reg Nr. 3318</w:t>
      </w:r>
      <w:r>
        <w:rPr>
          <w:color w:val="auto"/>
        </w:rPr>
        <w:t xml:space="preserve">) </w:t>
      </w:r>
      <w:r>
        <w:rPr>
          <w:lang w:eastAsia="de-DE"/>
        </w:rPr>
        <w:t xml:space="preserve">wurden von der Firma e-nema aus Deutschland zu Verfügung gestellt. Die Ausbringung derselben wurde von Herrn Ing. August Jost </w:t>
      </w:r>
      <w:r w:rsidRPr="00302B23">
        <w:rPr>
          <w:lang w:eastAsia="de-DE"/>
        </w:rPr>
        <w:t xml:space="preserve">mit einer adaptierten Feldspritze mit Injektoren </w:t>
      </w:r>
      <w:r>
        <w:rPr>
          <w:lang w:eastAsia="de-DE"/>
        </w:rPr>
        <w:t xml:space="preserve">zur Applikation der </w:t>
      </w:r>
      <w:r w:rsidRPr="00302B23">
        <w:rPr>
          <w:lang w:eastAsia="de-DE"/>
        </w:rPr>
        <w:t>Nematoden</w:t>
      </w:r>
      <w:r>
        <w:rPr>
          <w:lang w:eastAsia="de-DE"/>
        </w:rPr>
        <w:t>suspension</w:t>
      </w:r>
      <w:r w:rsidRPr="00302B23">
        <w:rPr>
          <w:lang w:eastAsia="de-DE"/>
        </w:rPr>
        <w:t xml:space="preserve"> in die Saatrillen</w:t>
      </w:r>
      <w:r>
        <w:rPr>
          <w:lang w:eastAsia="de-DE"/>
        </w:rPr>
        <w:t xml:space="preserve"> (System von e-nema; </w:t>
      </w:r>
      <w:r w:rsidRPr="009806A4">
        <w:rPr>
          <w:lang w:eastAsia="de-DE"/>
        </w:rPr>
        <w:t>https://www.youtube.com/watch?v=85641zUUFPM</w:t>
      </w:r>
      <w:r>
        <w:rPr>
          <w:lang w:eastAsia="de-DE"/>
        </w:rPr>
        <w:t xml:space="preserve">) durchgeführt. </w:t>
      </w:r>
    </w:p>
    <w:p w:rsidR="00402D84" w:rsidRPr="001D3CB3" w:rsidRDefault="00402D84" w:rsidP="00B877FC">
      <w:pPr>
        <w:pStyle w:val="Flietext"/>
        <w:jc w:val="both"/>
        <w:rPr>
          <w:lang w:eastAsia="de-DE"/>
        </w:rPr>
      </w:pPr>
      <w:r>
        <w:rPr>
          <w:lang w:eastAsia="de-DE"/>
        </w:rPr>
        <w:t xml:space="preserve">Folgende </w:t>
      </w:r>
      <w:r w:rsidRPr="001D3CB3">
        <w:rPr>
          <w:lang w:eastAsia="de-DE"/>
        </w:rPr>
        <w:t>Versuchsfläche</w:t>
      </w:r>
      <w:r w:rsidRPr="001D3CB3">
        <w:rPr>
          <w:color w:val="auto"/>
          <w:lang w:eastAsia="de-DE"/>
        </w:rPr>
        <w:t>n (</w:t>
      </w:r>
      <w:r w:rsidRPr="001D3CB3">
        <w:rPr>
          <w:color w:val="auto"/>
          <w:lang w:eastAsia="de-DE"/>
        </w:rPr>
        <w:fldChar w:fldCharType="begin"/>
      </w:r>
      <w:r w:rsidRPr="001D3CB3">
        <w:rPr>
          <w:color w:val="auto"/>
          <w:lang w:eastAsia="de-DE"/>
        </w:rPr>
        <w:instrText xml:space="preserve"> REF _Ref533058121 \h </w:instrText>
      </w:r>
      <w:r w:rsidR="00B877FC" w:rsidRPr="001D3CB3">
        <w:rPr>
          <w:color w:val="auto"/>
          <w:lang w:eastAsia="de-DE"/>
        </w:rPr>
        <w:instrText xml:space="preserve"> \* MERGEFORMAT </w:instrText>
      </w:r>
      <w:r w:rsidRPr="001D3CB3">
        <w:rPr>
          <w:color w:val="auto"/>
          <w:lang w:eastAsia="de-DE"/>
        </w:rPr>
      </w:r>
      <w:r w:rsidRPr="001D3CB3">
        <w:rPr>
          <w:color w:val="auto"/>
          <w:lang w:eastAsia="de-DE"/>
        </w:rPr>
        <w:fldChar w:fldCharType="separate"/>
      </w:r>
      <w:r w:rsidR="00B877FC" w:rsidRPr="001D3CB3">
        <w:t xml:space="preserve">Abbildung </w:t>
      </w:r>
      <w:r w:rsidR="00B877FC" w:rsidRPr="001D3CB3">
        <w:rPr>
          <w:noProof/>
        </w:rPr>
        <w:t>14</w:t>
      </w:r>
      <w:r w:rsidRPr="001D3CB3">
        <w:rPr>
          <w:color w:val="auto"/>
          <w:lang w:eastAsia="de-DE"/>
        </w:rPr>
        <w:fldChar w:fldCharType="end"/>
      </w:r>
      <w:r w:rsidRPr="001D3CB3">
        <w:rPr>
          <w:color w:val="auto"/>
          <w:lang w:eastAsia="de-DE"/>
        </w:rPr>
        <w:t xml:space="preserve">, </w:t>
      </w:r>
      <w:r w:rsidRPr="001D3CB3">
        <w:rPr>
          <w:color w:val="FF0000"/>
          <w:lang w:eastAsia="de-DE"/>
        </w:rPr>
        <w:fldChar w:fldCharType="begin"/>
      </w:r>
      <w:r w:rsidRPr="001D3CB3">
        <w:rPr>
          <w:color w:val="FF0000"/>
          <w:lang w:eastAsia="de-DE"/>
        </w:rPr>
        <w:instrText xml:space="preserve"> REF _Ref533058203 \h </w:instrText>
      </w:r>
      <w:r w:rsidR="00B877FC" w:rsidRPr="001D3CB3">
        <w:rPr>
          <w:color w:val="FF0000"/>
          <w:lang w:eastAsia="de-DE"/>
        </w:rPr>
        <w:instrText xml:space="preserve"> \* MERGEFORMAT </w:instrText>
      </w:r>
      <w:r w:rsidRPr="001D3CB3">
        <w:rPr>
          <w:color w:val="FF0000"/>
          <w:lang w:eastAsia="de-DE"/>
        </w:rPr>
      </w:r>
      <w:r w:rsidRPr="001D3CB3">
        <w:rPr>
          <w:color w:val="FF0000"/>
          <w:lang w:eastAsia="de-DE"/>
        </w:rPr>
        <w:fldChar w:fldCharType="separate"/>
      </w:r>
      <w:r w:rsidR="00B877FC" w:rsidRPr="001D3CB3">
        <w:t xml:space="preserve">Tabelle </w:t>
      </w:r>
      <w:r w:rsidR="00B877FC" w:rsidRPr="001D3CB3">
        <w:rPr>
          <w:noProof/>
        </w:rPr>
        <w:t>5</w:t>
      </w:r>
      <w:r w:rsidRPr="001D3CB3">
        <w:rPr>
          <w:color w:val="FF0000"/>
          <w:lang w:eastAsia="de-DE"/>
        </w:rPr>
        <w:fldChar w:fldCharType="end"/>
      </w:r>
      <w:r w:rsidRPr="001D3CB3">
        <w:rPr>
          <w:lang w:eastAsia="de-DE"/>
        </w:rPr>
        <w:t>) wurden in den Jahren 2016</w:t>
      </w:r>
      <w:r w:rsidRPr="001D3CB3">
        <w:rPr>
          <w:vertAlign w:val="superscript"/>
          <w:lang w:eastAsia="de-DE"/>
        </w:rPr>
        <w:t>1</w:t>
      </w:r>
      <w:r w:rsidRPr="001D3CB3">
        <w:rPr>
          <w:lang w:eastAsia="de-DE"/>
        </w:rPr>
        <w:t xml:space="preserve"> und 2017</w:t>
      </w:r>
      <w:r w:rsidRPr="001D3CB3">
        <w:rPr>
          <w:vertAlign w:val="superscript"/>
          <w:lang w:eastAsia="de-DE"/>
        </w:rPr>
        <w:t>2</w:t>
      </w:r>
      <w:r w:rsidRPr="001D3CB3">
        <w:rPr>
          <w:lang w:eastAsia="de-DE"/>
        </w:rPr>
        <w:t xml:space="preserve"> beprobt und die Wirkung des Nematodeneinsatzes auf das Käferauftreten mithilfe verschiedener Techniken ausgewertet: </w:t>
      </w:r>
    </w:p>
    <w:p w:rsidR="00402D84" w:rsidRPr="00B877FC" w:rsidRDefault="00402D84" w:rsidP="00B877FC">
      <w:pPr>
        <w:pStyle w:val="Flietext"/>
        <w:jc w:val="both"/>
        <w:rPr>
          <w:rFonts w:eastAsia="Times New Roman"/>
          <w:color w:val="auto"/>
          <w:lang w:eastAsia="de-DE"/>
        </w:rPr>
      </w:pPr>
      <w:r w:rsidRPr="001D3CB3">
        <w:rPr>
          <w:lang w:eastAsia="de-DE"/>
        </w:rPr>
        <w:t>*</w:t>
      </w:r>
      <w:r w:rsidRPr="001D3CB3">
        <w:rPr>
          <w:vertAlign w:val="superscript"/>
          <w:lang w:eastAsia="de-DE"/>
        </w:rPr>
        <w:t>1,2</w:t>
      </w:r>
      <w:r w:rsidRPr="001D3CB3">
        <w:rPr>
          <w:lang w:eastAsia="de-DE"/>
        </w:rPr>
        <w:t xml:space="preserve"> Die Streifenversuche Schwarza V und Lichendorf V der</w:t>
      </w:r>
      <w:r>
        <w:rPr>
          <w:lang w:eastAsia="de-DE"/>
        </w:rPr>
        <w:t xml:space="preserve"> Firma e-nema auf denen unterschiedliche Aufwandmengen des herkömmlichen Produktes Dianem®, des </w:t>
      </w:r>
      <w:r w:rsidRPr="00366F27">
        <w:rPr>
          <w:color w:val="auto"/>
          <w:lang w:eastAsia="de-DE"/>
        </w:rPr>
        <w:t>auf verbesserte Virulenz und Persiste</w:t>
      </w:r>
      <w:r>
        <w:rPr>
          <w:color w:val="auto"/>
          <w:lang w:eastAsia="de-DE"/>
        </w:rPr>
        <w:t xml:space="preserve">nz weiterentwickelten Produktes </w:t>
      </w:r>
      <w:r>
        <w:rPr>
          <w:lang w:eastAsia="de-DE"/>
        </w:rPr>
        <w:t xml:space="preserve">Dianem® </w:t>
      </w:r>
      <w:r>
        <w:rPr>
          <w:color w:val="auto"/>
          <w:lang w:eastAsia="de-DE"/>
        </w:rPr>
        <w:t>und das</w:t>
      </w:r>
      <w:r w:rsidRPr="00366F27">
        <w:rPr>
          <w:color w:val="FF0000"/>
          <w:lang w:eastAsia="de-DE"/>
        </w:rPr>
        <w:t xml:space="preserve"> </w:t>
      </w:r>
      <w:r w:rsidRPr="00154CB1">
        <w:rPr>
          <w:color w:val="auto"/>
          <w:lang w:eastAsia="de-DE"/>
        </w:rPr>
        <w:t>Insektizid Belem (</w:t>
      </w:r>
      <w:r>
        <w:rPr>
          <w:color w:val="auto"/>
          <w:lang w:eastAsia="de-DE"/>
        </w:rPr>
        <w:t xml:space="preserve">0,8 MG, 12 kg/ha; Pyrethroid, Pfl.RegNr. </w:t>
      </w:r>
      <w:r w:rsidRPr="00D54F09">
        <w:rPr>
          <w:color w:val="auto"/>
          <w:lang w:eastAsia="de-DE"/>
        </w:rPr>
        <w:t>3553-5</w:t>
      </w:r>
      <w:r>
        <w:rPr>
          <w:color w:val="auto"/>
          <w:lang w:eastAsia="de-DE"/>
        </w:rPr>
        <w:t>)</w:t>
      </w:r>
      <w:r w:rsidRPr="00154CB1">
        <w:rPr>
          <w:color w:val="auto"/>
          <w:lang w:eastAsia="de-DE"/>
        </w:rPr>
        <w:t xml:space="preserve"> als Positivkontrolle appliziert wurden sowie ein</w:t>
      </w:r>
      <w:r>
        <w:rPr>
          <w:color w:val="auto"/>
          <w:lang w:eastAsia="de-DE"/>
        </w:rPr>
        <w:t>e</w:t>
      </w:r>
      <w:r w:rsidRPr="00154CB1">
        <w:rPr>
          <w:color w:val="auto"/>
          <w:lang w:eastAsia="de-DE"/>
        </w:rPr>
        <w:t xml:space="preserve"> Unbehandelte Kontrolle. </w:t>
      </w:r>
      <w:r>
        <w:rPr>
          <w:color w:val="auto"/>
          <w:lang w:eastAsia="de-DE"/>
        </w:rPr>
        <w:t>2016 wurde zusätzlich eine Variante mit Dianem</w:t>
      </w:r>
      <w:r>
        <w:rPr>
          <w:lang w:eastAsia="de-DE"/>
        </w:rPr>
        <w:t>®</w:t>
      </w:r>
      <w:r>
        <w:rPr>
          <w:color w:val="auto"/>
          <w:lang w:eastAsia="de-DE"/>
        </w:rPr>
        <w:t xml:space="preserve"> in Kombination mit </w:t>
      </w:r>
      <w:r>
        <w:rPr>
          <w:lang w:eastAsia="de-DE"/>
        </w:rPr>
        <w:t xml:space="preserve">dem </w:t>
      </w:r>
      <w:r w:rsidRPr="008E3D59">
        <w:rPr>
          <w:color w:val="auto"/>
          <w:lang w:eastAsia="de-DE"/>
        </w:rPr>
        <w:t>biologischen Bodenhilfsstoff Rhizovital®42 flüssig (</w:t>
      </w:r>
      <w:r>
        <w:rPr>
          <w:lang w:eastAsia="de-DE"/>
        </w:rPr>
        <w:t xml:space="preserve">Stamm </w:t>
      </w:r>
      <w:r w:rsidRPr="00785B26">
        <w:rPr>
          <w:i/>
          <w:lang w:eastAsia="de-DE"/>
        </w:rPr>
        <w:t>Bacillus amyloliquefaciens</w:t>
      </w:r>
      <w:r>
        <w:rPr>
          <w:lang w:eastAsia="de-DE"/>
        </w:rPr>
        <w:t xml:space="preserve"> FZB 42) getestet.</w:t>
      </w:r>
    </w:p>
    <w:p w:rsidR="00402D84" w:rsidRPr="008E3D59" w:rsidRDefault="00402D84" w:rsidP="00B877FC">
      <w:pPr>
        <w:pStyle w:val="Flietext"/>
        <w:jc w:val="both"/>
        <w:rPr>
          <w:color w:val="auto"/>
          <w:lang w:eastAsia="de-DE"/>
        </w:rPr>
      </w:pPr>
      <w:r w:rsidRPr="00B877FC">
        <w:rPr>
          <w:rFonts w:eastAsia="Times New Roman"/>
          <w:color w:val="auto"/>
          <w:lang w:eastAsia="de-DE"/>
        </w:rPr>
        <w:t xml:space="preserve">Für die Versuchsauswertung im Jahr 2016 wurde </w:t>
      </w:r>
      <w:r w:rsidRPr="00B877FC">
        <w:rPr>
          <w:color w:val="auto"/>
          <w:lang w:eastAsia="de-DE"/>
        </w:rPr>
        <w:t>Dianem</w:t>
      </w:r>
      <w:r w:rsidRPr="008E3D59">
        <w:rPr>
          <w:color w:val="auto"/>
          <w:lang w:eastAsia="de-DE"/>
        </w:rPr>
        <w:t xml:space="preserve">® - entsprechend dem 2016 im Verkauf befindlichen Produkt (in den Zwischenberichten jeweils als „Dianem alt“ bezeichnet) -herangezogen. </w:t>
      </w:r>
    </w:p>
    <w:p w:rsidR="00402D84" w:rsidRPr="00785B26" w:rsidRDefault="00402D84" w:rsidP="00B877FC">
      <w:pPr>
        <w:pStyle w:val="Flietext"/>
        <w:jc w:val="both"/>
        <w:rPr>
          <w:color w:val="auto"/>
          <w:lang w:eastAsia="de-DE"/>
        </w:rPr>
      </w:pPr>
      <w:r w:rsidRPr="008E3D59">
        <w:rPr>
          <w:rFonts w:eastAsia="Times New Roman"/>
          <w:color w:val="auto"/>
          <w:lang w:eastAsia="de-DE"/>
        </w:rPr>
        <w:t>Im Jahr 2017 wurde das „</w:t>
      </w:r>
      <w:r w:rsidRPr="008E3D59">
        <w:rPr>
          <w:color w:val="auto"/>
          <w:lang w:eastAsia="de-DE"/>
        </w:rPr>
        <w:t>auf verbe</w:t>
      </w:r>
      <w:r w:rsidRPr="00785B26">
        <w:rPr>
          <w:color w:val="auto"/>
          <w:lang w:eastAsia="de-DE"/>
        </w:rPr>
        <w:t>sserte Virulenz und Persiste</w:t>
      </w:r>
      <w:r>
        <w:rPr>
          <w:color w:val="auto"/>
          <w:lang w:eastAsia="de-DE"/>
        </w:rPr>
        <w:t>nz weiterentwickelte</w:t>
      </w:r>
      <w:r w:rsidRPr="00785B26">
        <w:rPr>
          <w:color w:val="auto"/>
          <w:lang w:eastAsia="de-DE"/>
        </w:rPr>
        <w:t xml:space="preserve"> </w:t>
      </w:r>
      <w:r w:rsidRPr="00785B26">
        <w:rPr>
          <w:rFonts w:eastAsia="Times New Roman"/>
          <w:color w:val="auto"/>
          <w:lang w:eastAsia="de-DE"/>
        </w:rPr>
        <w:t>Dianem</w:t>
      </w:r>
      <w:r w:rsidRPr="00785B26">
        <w:rPr>
          <w:color w:val="auto"/>
          <w:lang w:eastAsia="de-DE"/>
        </w:rPr>
        <w:t>® - entsprechend dem im Verkauf befindlichen Produkt (in den Zwischenberichten jeweils als „Dianem neu“ bezeichnet)</w:t>
      </w:r>
      <w:r>
        <w:rPr>
          <w:color w:val="auto"/>
          <w:lang w:eastAsia="de-DE"/>
        </w:rPr>
        <w:t xml:space="preserve"> - ausgebracht</w:t>
      </w:r>
      <w:r w:rsidRPr="00785B26">
        <w:rPr>
          <w:color w:val="auto"/>
          <w:lang w:eastAsia="de-DE"/>
        </w:rPr>
        <w:t xml:space="preserve">. </w:t>
      </w:r>
    </w:p>
    <w:p w:rsidR="00402D84" w:rsidRPr="00154CB1" w:rsidRDefault="00402D84" w:rsidP="00B877FC">
      <w:pPr>
        <w:pStyle w:val="Flietext"/>
        <w:jc w:val="both"/>
        <w:rPr>
          <w:color w:val="auto"/>
          <w:lang w:eastAsia="de-DE"/>
        </w:rPr>
      </w:pPr>
      <w:r w:rsidRPr="00785B26">
        <w:rPr>
          <w:color w:val="auto"/>
          <w:lang w:eastAsia="de-DE"/>
        </w:rPr>
        <w:t>Im Endbericht werden nur Dianem-Varianten mit der empfohlenen Aufwandmenge von 2 Mrd. Nematoden/ha verglichen.</w:t>
      </w:r>
      <w:r w:rsidRPr="00785B26">
        <w:rPr>
          <w:rFonts w:eastAsia="Times New Roman"/>
          <w:color w:val="auto"/>
          <w:lang w:eastAsia="de-DE"/>
        </w:rPr>
        <w:t xml:space="preserve"> Auf beiden V</w:t>
      </w:r>
      <w:r w:rsidRPr="00154CB1">
        <w:rPr>
          <w:rFonts w:eastAsia="Times New Roman"/>
          <w:color w:val="auto"/>
          <w:lang w:eastAsia="de-DE"/>
        </w:rPr>
        <w:t>ersuchsflächen wird aufgrund von Versuchstätigkeiten mindestens das 6. Jahr in Folge Mais angebaut.</w:t>
      </w:r>
    </w:p>
    <w:p w:rsidR="00402D84" w:rsidRDefault="00402D84" w:rsidP="00B877FC">
      <w:pPr>
        <w:pStyle w:val="Flietext"/>
        <w:jc w:val="both"/>
        <w:rPr>
          <w:lang w:eastAsia="de-DE"/>
        </w:rPr>
      </w:pPr>
      <w:r w:rsidRPr="00154CB1">
        <w:rPr>
          <w:color w:val="auto"/>
          <w:lang w:eastAsia="de-DE"/>
        </w:rPr>
        <w:t>*</w:t>
      </w:r>
      <w:r w:rsidRPr="00890A26">
        <w:rPr>
          <w:color w:val="auto"/>
          <w:vertAlign w:val="superscript"/>
          <w:lang w:eastAsia="de-DE"/>
        </w:rPr>
        <w:t>2</w:t>
      </w:r>
      <w:r w:rsidRPr="00154CB1">
        <w:rPr>
          <w:color w:val="auto"/>
          <w:lang w:eastAsia="de-DE"/>
        </w:rPr>
        <w:t xml:space="preserve"> Mit Dianem®-behandelte Felder (Feldversuch), </w:t>
      </w:r>
      <w:r>
        <w:rPr>
          <w:color w:val="auto"/>
          <w:lang w:eastAsia="de-DE"/>
        </w:rPr>
        <w:t>der</w:t>
      </w:r>
      <w:r w:rsidRPr="00154CB1">
        <w:rPr>
          <w:color w:val="auto"/>
          <w:lang w:eastAsia="de-DE"/>
        </w:rPr>
        <w:t>en benachbarte Maisflächen bzw. entsprechende Varianten der beiden Streifenversuche Schwarza V und Lichendorf V als Unbehandelt</w:t>
      </w:r>
      <w:r>
        <w:rPr>
          <w:color w:val="auto"/>
          <w:lang w:eastAsia="de-DE"/>
        </w:rPr>
        <w:t>e</w:t>
      </w:r>
      <w:r w:rsidRPr="00154CB1">
        <w:rPr>
          <w:color w:val="auto"/>
          <w:lang w:eastAsia="de-DE"/>
        </w:rPr>
        <w:t xml:space="preserve"> Kontrolle bzw. als Belem-behandelte Positivkontrolle herangezogen wurden.</w:t>
      </w:r>
      <w:r>
        <w:rPr>
          <w:color w:val="auto"/>
          <w:lang w:eastAsia="de-DE"/>
        </w:rPr>
        <w:t xml:space="preserve"> </w:t>
      </w:r>
      <w:r>
        <w:rPr>
          <w:lang w:eastAsia="de-DE"/>
        </w:rPr>
        <w:t>Auf sämtlichen Feldern wurde das auf</w:t>
      </w:r>
      <w:r w:rsidRPr="00366F27">
        <w:rPr>
          <w:color w:val="auto"/>
          <w:lang w:eastAsia="de-DE"/>
        </w:rPr>
        <w:t xml:space="preserve"> verbesserte Virulenz und Persiste</w:t>
      </w:r>
      <w:r>
        <w:rPr>
          <w:color w:val="auto"/>
          <w:lang w:eastAsia="de-DE"/>
        </w:rPr>
        <w:t xml:space="preserve">nz weiterentwickelte Produkt </w:t>
      </w:r>
      <w:r>
        <w:rPr>
          <w:lang w:eastAsia="de-DE"/>
        </w:rPr>
        <w:t>Dianem® ausgebracht.</w:t>
      </w:r>
    </w:p>
    <w:p w:rsidR="00402D84" w:rsidRDefault="00402D84" w:rsidP="00402D84">
      <w:pPr>
        <w:pStyle w:val="Flietext"/>
        <w:rPr>
          <w:lang w:eastAsia="de-DE"/>
        </w:rPr>
      </w:pPr>
      <w:r>
        <w:rPr>
          <w:noProof/>
          <w:lang w:eastAsia="de-AT"/>
        </w:rPr>
        <w:drawing>
          <wp:inline distT="0" distB="0" distL="0" distR="0" wp14:anchorId="08C347C2" wp14:editId="46A483EA">
            <wp:extent cx="5828030" cy="2674620"/>
            <wp:effectExtent l="0" t="0" r="1270" b="0"/>
            <wp:docPr id="13" name="Grafik 13" title="Versuchsflächen Dian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acont_Versuchsstandorte_2017_ohneNamen.jpg"/>
                    <pic:cNvPicPr/>
                  </pic:nvPicPr>
                  <pic:blipFill>
                    <a:blip r:embed="rId53">
                      <a:extLst>
                        <a:ext uri="{28A0092B-C50C-407E-A947-70E740481C1C}">
                          <a14:useLocalDpi xmlns:a14="http://schemas.microsoft.com/office/drawing/2010/main" val="0"/>
                        </a:ext>
                      </a:extLst>
                    </a:blip>
                    <a:stretch>
                      <a:fillRect/>
                    </a:stretch>
                  </pic:blipFill>
                  <pic:spPr>
                    <a:xfrm>
                      <a:off x="0" y="0"/>
                      <a:ext cx="5828030" cy="2674620"/>
                    </a:xfrm>
                    <a:prstGeom prst="rect">
                      <a:avLst/>
                    </a:prstGeom>
                  </pic:spPr>
                </pic:pic>
              </a:graphicData>
            </a:graphic>
          </wp:inline>
        </w:drawing>
      </w:r>
    </w:p>
    <w:p w:rsidR="00402D84" w:rsidRDefault="00402D84" w:rsidP="00402D84">
      <w:pPr>
        <w:pStyle w:val="Beschriftung"/>
      </w:pPr>
      <w:bookmarkStart w:id="86" w:name="_Ref533058121"/>
      <w:bookmarkStart w:id="87" w:name="_Ref533058086"/>
      <w:bookmarkStart w:id="88" w:name="_Toc533059379"/>
      <w:bookmarkStart w:id="89" w:name="_Toc7715405"/>
      <w:r>
        <w:t xml:space="preserve">Abbildung </w:t>
      </w:r>
      <w:r>
        <w:rPr>
          <w:noProof/>
        </w:rPr>
        <w:fldChar w:fldCharType="begin"/>
      </w:r>
      <w:r>
        <w:rPr>
          <w:noProof/>
        </w:rPr>
        <w:instrText xml:space="preserve"> SEQ Abbildung \* ARABIC </w:instrText>
      </w:r>
      <w:r>
        <w:rPr>
          <w:noProof/>
        </w:rPr>
        <w:fldChar w:fldCharType="separate"/>
      </w:r>
      <w:r w:rsidR="00B877FC">
        <w:rPr>
          <w:noProof/>
        </w:rPr>
        <w:t>14</w:t>
      </w:r>
      <w:r>
        <w:rPr>
          <w:noProof/>
        </w:rPr>
        <w:fldChar w:fldCharType="end"/>
      </w:r>
      <w:bookmarkEnd w:id="86"/>
      <w:r>
        <w:t xml:space="preserve">: </w:t>
      </w:r>
      <w:r w:rsidRPr="00DA45B1">
        <w:t>Versuchsflächen 2016 und 2017 Modul 1</w:t>
      </w:r>
      <w:r>
        <w:t>. In n</w:t>
      </w:r>
      <w:r w:rsidRPr="00DA45B1">
        <w:t>achstehend</w:t>
      </w:r>
      <w:r>
        <w:t xml:space="preserve">er Tabelle </w:t>
      </w:r>
      <w:r w:rsidRPr="00DA45B1">
        <w:t xml:space="preserve"> sind die Koordinaten derselben gelistet:</w:t>
      </w:r>
      <w:bookmarkEnd w:id="87"/>
      <w:bookmarkEnd w:id="88"/>
      <w:bookmarkEnd w:id="89"/>
    </w:p>
    <w:p w:rsidR="00BE36E2" w:rsidRDefault="00BE36E2">
      <w:pPr>
        <w:rPr>
          <w:color w:val="000000"/>
        </w:rPr>
      </w:pPr>
      <w:r>
        <w:br w:type="page"/>
      </w:r>
    </w:p>
    <w:p w:rsidR="00402D84" w:rsidRDefault="00402D84" w:rsidP="00402D84">
      <w:pPr>
        <w:pStyle w:val="Tabellentitel"/>
      </w:pPr>
      <w:bookmarkStart w:id="90" w:name="_Ref533058203"/>
      <w:bookmarkStart w:id="91" w:name="_Toc533059374"/>
      <w:bookmarkStart w:id="92" w:name="_Toc7715386"/>
      <w:r>
        <w:t xml:space="preserve">Tabelle </w:t>
      </w:r>
      <w:r>
        <w:rPr>
          <w:noProof/>
        </w:rPr>
        <w:fldChar w:fldCharType="begin"/>
      </w:r>
      <w:r>
        <w:rPr>
          <w:noProof/>
        </w:rPr>
        <w:instrText xml:space="preserve"> SEQ Tabelle \* ARABIC </w:instrText>
      </w:r>
      <w:r>
        <w:rPr>
          <w:noProof/>
        </w:rPr>
        <w:fldChar w:fldCharType="separate"/>
      </w:r>
      <w:r w:rsidR="00B877FC">
        <w:rPr>
          <w:noProof/>
        </w:rPr>
        <w:t>5</w:t>
      </w:r>
      <w:r>
        <w:rPr>
          <w:noProof/>
        </w:rPr>
        <w:fldChar w:fldCharType="end"/>
      </w:r>
      <w:bookmarkEnd w:id="90"/>
      <w:r>
        <w:t xml:space="preserve">:Versuchsflächen mit Koordinaten, Pflanzenschutz-maßnahme, Maissorte, Entfernung zur Mur und Vorfrüchte der letzten drei Jahre, </w:t>
      </w:r>
      <w:r w:rsidRPr="006D141E">
        <w:rPr>
          <w:vertAlign w:val="superscript"/>
        </w:rPr>
        <w:t xml:space="preserve">1 </w:t>
      </w:r>
      <w:r>
        <w:t xml:space="preserve">2016, </w:t>
      </w:r>
      <w:r w:rsidRPr="006D141E">
        <w:rPr>
          <w:vertAlign w:val="superscript"/>
        </w:rPr>
        <w:t xml:space="preserve">2 </w:t>
      </w:r>
      <w:r>
        <w:t>2017</w:t>
      </w:r>
      <w:bookmarkEnd w:id="91"/>
      <w:bookmarkEnd w:id="92"/>
    </w:p>
    <w:p w:rsidR="00B376C1" w:rsidRDefault="00B376C1" w:rsidP="00B376C1">
      <w:pPr>
        <w:pStyle w:val="Tabelle"/>
        <w:rPr>
          <w:lang w:val="de-AT" w:eastAsia="ja-JP"/>
        </w:rPr>
      </w:pPr>
    </w:p>
    <w:tbl>
      <w:tblPr>
        <w:tblW w:w="0" w:type="auto"/>
        <w:jc w:val="right"/>
        <w:tblBorders>
          <w:insideH w:val="single" w:sz="2" w:space="0" w:color="auto"/>
          <w:insideV w:val="single" w:sz="2" w:space="0" w:color="auto"/>
        </w:tblBorders>
        <w:tblLook w:val="06A0" w:firstRow="1" w:lastRow="0" w:firstColumn="1" w:lastColumn="0" w:noHBand="1" w:noVBand="1"/>
      </w:tblPr>
      <w:tblGrid>
        <w:gridCol w:w="2286"/>
        <w:gridCol w:w="1360"/>
        <w:gridCol w:w="1640"/>
        <w:gridCol w:w="1418"/>
        <w:gridCol w:w="1255"/>
        <w:gridCol w:w="1219"/>
      </w:tblGrid>
      <w:tr w:rsidR="00B376C1" w:rsidRPr="002013FE" w:rsidTr="00B376C1">
        <w:trPr>
          <w:trHeight w:val="241"/>
          <w:jc w:val="right"/>
        </w:trPr>
        <w:tc>
          <w:tcPr>
            <w:tcW w:w="2578" w:type="dxa"/>
            <w:shd w:val="clear" w:color="auto" w:fill="auto"/>
            <w:vAlign w:val="center"/>
            <w:hideMark/>
          </w:tcPr>
          <w:p w:rsidR="00B376C1" w:rsidRPr="002013FE" w:rsidRDefault="00B376C1" w:rsidP="00B376C1">
            <w:pPr>
              <w:rPr>
                <w:rFonts w:eastAsia="Times New Roman"/>
                <w:b/>
                <w:color w:val="2869A1"/>
                <w:lang w:val="de-DE" w:eastAsia="de-DE"/>
              </w:rPr>
            </w:pPr>
            <w:r>
              <w:rPr>
                <w:rFonts w:eastAsia="Times New Roman"/>
                <w:b/>
                <w:color w:val="2869A1"/>
                <w:lang w:val="de-DE" w:eastAsia="de-DE"/>
              </w:rPr>
              <w:t>Versuchsfläche</w:t>
            </w:r>
          </w:p>
        </w:tc>
        <w:tc>
          <w:tcPr>
            <w:tcW w:w="1360" w:type="dxa"/>
            <w:shd w:val="clear" w:color="auto" w:fill="auto"/>
            <w:vAlign w:val="center"/>
            <w:hideMark/>
          </w:tcPr>
          <w:p w:rsidR="00B376C1" w:rsidRPr="002013FE" w:rsidRDefault="00B376C1" w:rsidP="00B376C1">
            <w:pPr>
              <w:jc w:val="right"/>
              <w:rPr>
                <w:rFonts w:eastAsia="Times New Roman"/>
                <w:b/>
                <w:color w:val="2869A1"/>
                <w:lang w:val="de-DE" w:eastAsia="de-DE"/>
              </w:rPr>
            </w:pPr>
            <w:r>
              <w:rPr>
                <w:rFonts w:eastAsia="Times New Roman"/>
                <w:b/>
                <w:color w:val="2869A1"/>
                <w:lang w:val="de-DE" w:eastAsia="de-DE"/>
              </w:rPr>
              <w:t>Koordinaten</w:t>
            </w:r>
            <w:r w:rsidRPr="002013FE">
              <w:rPr>
                <w:rFonts w:eastAsia="Times New Roman"/>
                <w:b/>
                <w:color w:val="2869A1"/>
                <w:lang w:val="de-DE" w:eastAsia="de-DE"/>
              </w:rPr>
              <w:t xml:space="preserve"> </w:t>
            </w:r>
          </w:p>
        </w:tc>
        <w:tc>
          <w:tcPr>
            <w:tcW w:w="1640" w:type="dxa"/>
            <w:shd w:val="clear" w:color="auto" w:fill="auto"/>
            <w:vAlign w:val="center"/>
            <w:hideMark/>
          </w:tcPr>
          <w:p w:rsidR="00B376C1" w:rsidRPr="002013FE" w:rsidRDefault="00B376C1" w:rsidP="00B376C1">
            <w:pPr>
              <w:jc w:val="right"/>
              <w:rPr>
                <w:rFonts w:eastAsia="Times New Roman"/>
                <w:b/>
                <w:color w:val="2869A1"/>
                <w:lang w:val="de-DE" w:eastAsia="de-DE"/>
              </w:rPr>
            </w:pPr>
            <w:r>
              <w:rPr>
                <w:rFonts w:eastAsia="Times New Roman"/>
                <w:b/>
                <w:color w:val="2869A1"/>
                <w:lang w:val="de-DE" w:eastAsia="de-DE"/>
              </w:rPr>
              <w:t>Pflanzenschutz-maßnahme</w:t>
            </w:r>
          </w:p>
        </w:tc>
        <w:tc>
          <w:tcPr>
            <w:tcW w:w="1126" w:type="dxa"/>
            <w:vAlign w:val="center"/>
          </w:tcPr>
          <w:p w:rsidR="00B376C1" w:rsidRPr="002013FE" w:rsidRDefault="00B376C1" w:rsidP="00B376C1">
            <w:pPr>
              <w:jc w:val="right"/>
              <w:rPr>
                <w:rFonts w:eastAsia="Times New Roman"/>
                <w:b/>
                <w:color w:val="2869A1"/>
                <w:lang w:val="de-DE" w:eastAsia="de-DE"/>
              </w:rPr>
            </w:pPr>
            <w:r>
              <w:rPr>
                <w:rFonts w:eastAsia="Times New Roman"/>
                <w:b/>
                <w:color w:val="2869A1"/>
                <w:lang w:val="de-DE" w:eastAsia="de-DE"/>
              </w:rPr>
              <w:t>Maissorte</w:t>
            </w:r>
          </w:p>
        </w:tc>
        <w:tc>
          <w:tcPr>
            <w:tcW w:w="1255" w:type="dxa"/>
            <w:vAlign w:val="center"/>
          </w:tcPr>
          <w:p w:rsidR="00B376C1" w:rsidRPr="002013FE" w:rsidRDefault="00B376C1" w:rsidP="00B376C1">
            <w:pPr>
              <w:jc w:val="right"/>
              <w:rPr>
                <w:rFonts w:eastAsia="Times New Roman"/>
                <w:b/>
                <w:color w:val="2869A1"/>
                <w:lang w:val="de-DE" w:eastAsia="de-DE"/>
              </w:rPr>
            </w:pPr>
            <w:r>
              <w:rPr>
                <w:rFonts w:eastAsia="Times New Roman"/>
                <w:b/>
                <w:color w:val="2869A1"/>
                <w:lang w:val="de-DE" w:eastAsia="de-DE"/>
              </w:rPr>
              <w:t>Entfernung zur Mur in Metern</w:t>
            </w:r>
          </w:p>
        </w:tc>
        <w:tc>
          <w:tcPr>
            <w:tcW w:w="1219" w:type="dxa"/>
            <w:vAlign w:val="center"/>
          </w:tcPr>
          <w:p w:rsidR="00B376C1" w:rsidRPr="002013FE" w:rsidRDefault="00B376C1" w:rsidP="00B376C1">
            <w:pPr>
              <w:jc w:val="right"/>
              <w:rPr>
                <w:rFonts w:eastAsia="Times New Roman"/>
                <w:b/>
                <w:color w:val="2869A1"/>
                <w:lang w:val="de-DE" w:eastAsia="de-DE"/>
              </w:rPr>
            </w:pPr>
            <w:r>
              <w:rPr>
                <w:rFonts w:eastAsia="Times New Roman"/>
                <w:b/>
                <w:color w:val="2869A1"/>
                <w:lang w:val="de-DE" w:eastAsia="de-DE"/>
              </w:rPr>
              <w:t>Vorfrüchte</w:t>
            </w:r>
          </w:p>
        </w:tc>
      </w:tr>
      <w:tr w:rsidR="00B376C1" w:rsidRPr="00B376C1" w:rsidTr="00B376C1">
        <w:trPr>
          <w:trHeight w:val="241"/>
          <w:jc w:val="right"/>
        </w:trPr>
        <w:tc>
          <w:tcPr>
            <w:tcW w:w="2578" w:type="dxa"/>
            <w:shd w:val="clear" w:color="auto" w:fill="auto"/>
            <w:hideMark/>
          </w:tcPr>
          <w:p w:rsidR="00B376C1" w:rsidRPr="00AE39BF" w:rsidRDefault="00B376C1" w:rsidP="00B376C1">
            <w:pPr>
              <w:pStyle w:val="Tabelle"/>
            </w:pPr>
            <w:r w:rsidRPr="00AE39BF">
              <w:t xml:space="preserve">Gersdorf </w:t>
            </w:r>
            <w:r w:rsidRPr="00AE39BF">
              <w:rPr>
                <w:vertAlign w:val="superscript"/>
              </w:rPr>
              <w:t>2</w:t>
            </w:r>
            <w:r w:rsidRPr="00AE39BF">
              <w:t xml:space="preserve"> </w:t>
            </w:r>
          </w:p>
        </w:tc>
        <w:tc>
          <w:tcPr>
            <w:tcW w:w="1360" w:type="dxa"/>
            <w:shd w:val="clear" w:color="auto" w:fill="auto"/>
            <w:hideMark/>
          </w:tcPr>
          <w:p w:rsidR="00B376C1" w:rsidRPr="00AE39BF" w:rsidRDefault="00B376C1" w:rsidP="00B376C1">
            <w:pPr>
              <w:pStyle w:val="Tabelle"/>
            </w:pPr>
            <w:r w:rsidRPr="00AE39BF">
              <w:t xml:space="preserve"> 46° 70,7974’ N / </w:t>
            </w:r>
            <w:r>
              <w:br/>
            </w:r>
            <w:r w:rsidRPr="00AE39BF">
              <w:t>15° 64,6404’ O</w:t>
            </w:r>
          </w:p>
        </w:tc>
        <w:tc>
          <w:tcPr>
            <w:tcW w:w="1640" w:type="dxa"/>
            <w:shd w:val="clear" w:color="auto" w:fill="auto"/>
            <w:hideMark/>
          </w:tcPr>
          <w:p w:rsidR="00B376C1" w:rsidRPr="00AE39BF" w:rsidRDefault="00B376C1" w:rsidP="00B376C1">
            <w:pPr>
              <w:pStyle w:val="Tabelle"/>
              <w:rPr>
                <w:rFonts w:ascii="Calibri" w:hAnsi="Calibri" w:cs="Calibri"/>
                <w:sz w:val="22"/>
                <w:szCs w:val="22"/>
              </w:rPr>
            </w:pPr>
            <w:r>
              <w:rPr>
                <w:rFonts w:ascii="Calibri" w:hAnsi="Calibri" w:cs="Calibri"/>
                <w:sz w:val="22"/>
                <w:szCs w:val="22"/>
              </w:rPr>
              <w:t>Dianem</w:t>
            </w:r>
          </w:p>
        </w:tc>
        <w:tc>
          <w:tcPr>
            <w:tcW w:w="1126" w:type="dxa"/>
          </w:tcPr>
          <w:p w:rsidR="00B376C1" w:rsidRPr="00AE39BF" w:rsidRDefault="00B376C1" w:rsidP="00B376C1">
            <w:pPr>
              <w:pStyle w:val="Tabelle"/>
            </w:pPr>
            <w:r w:rsidRPr="00887059">
              <w:t>MAS 40 F</w:t>
            </w:r>
          </w:p>
        </w:tc>
        <w:tc>
          <w:tcPr>
            <w:tcW w:w="1255" w:type="dxa"/>
          </w:tcPr>
          <w:p w:rsidR="00B376C1" w:rsidRPr="00AE39BF" w:rsidRDefault="00B376C1" w:rsidP="00B376C1">
            <w:pPr>
              <w:pStyle w:val="Tabelle"/>
            </w:pPr>
            <w:r>
              <w:t>150</w:t>
            </w:r>
          </w:p>
        </w:tc>
        <w:tc>
          <w:tcPr>
            <w:tcW w:w="1219" w:type="dxa"/>
          </w:tcPr>
          <w:p w:rsidR="00B376C1" w:rsidRPr="00AE286F" w:rsidRDefault="00B376C1" w:rsidP="00B376C1">
            <w:pPr>
              <w:pStyle w:val="Tabelle"/>
              <w:rPr>
                <w:lang w:val="en-US"/>
              </w:rPr>
            </w:pPr>
            <w:r w:rsidRPr="00AE286F">
              <w:rPr>
                <w:lang w:val="en-US"/>
              </w:rPr>
              <w:t>’14 Mais, ’15 Mais, ’16 Hirse</w:t>
            </w:r>
          </w:p>
        </w:tc>
      </w:tr>
      <w:tr w:rsidR="00B376C1" w:rsidRPr="002013FE" w:rsidTr="00B376C1">
        <w:trPr>
          <w:trHeight w:val="241"/>
          <w:jc w:val="right"/>
        </w:trPr>
        <w:tc>
          <w:tcPr>
            <w:tcW w:w="2578" w:type="dxa"/>
            <w:shd w:val="clear" w:color="auto" w:fill="auto"/>
          </w:tcPr>
          <w:p w:rsidR="00B376C1" w:rsidRPr="00AE39BF" w:rsidRDefault="00B376C1" w:rsidP="00B376C1">
            <w:pPr>
              <w:pStyle w:val="Tabelle"/>
            </w:pPr>
            <w:r w:rsidRPr="00AE39BF">
              <w:t>Schwarza 1</w:t>
            </w:r>
            <w:r w:rsidRPr="00AE39BF">
              <w:rPr>
                <w:vertAlign w:val="superscript"/>
              </w:rPr>
              <w:t>2</w:t>
            </w:r>
          </w:p>
        </w:tc>
        <w:tc>
          <w:tcPr>
            <w:tcW w:w="1360" w:type="dxa"/>
            <w:shd w:val="clear" w:color="auto" w:fill="auto"/>
          </w:tcPr>
          <w:p w:rsidR="00B376C1" w:rsidRPr="00AE39BF" w:rsidRDefault="00B376C1" w:rsidP="00B376C1">
            <w:pPr>
              <w:pStyle w:val="Tabelle"/>
            </w:pPr>
            <w:r w:rsidRPr="00AE39BF">
              <w:t xml:space="preserve">46° 70,9659’ N / </w:t>
            </w:r>
            <w:r>
              <w:br/>
            </w:r>
            <w:r w:rsidRPr="00AE39BF">
              <w:t>15° 68,1350’ O</w:t>
            </w:r>
          </w:p>
        </w:tc>
        <w:tc>
          <w:tcPr>
            <w:tcW w:w="1640" w:type="dxa"/>
            <w:shd w:val="clear" w:color="auto" w:fill="auto"/>
          </w:tcPr>
          <w:p w:rsidR="00B376C1" w:rsidRDefault="00B376C1" w:rsidP="00B376C1">
            <w:pPr>
              <w:pStyle w:val="Tabelle"/>
            </w:pPr>
            <w:r w:rsidRPr="00AE5220">
              <w:rPr>
                <w:rFonts w:ascii="Calibri" w:hAnsi="Calibri" w:cs="Calibri"/>
                <w:sz w:val="22"/>
                <w:szCs w:val="22"/>
              </w:rPr>
              <w:t>Dianem</w:t>
            </w:r>
          </w:p>
        </w:tc>
        <w:tc>
          <w:tcPr>
            <w:tcW w:w="1126" w:type="dxa"/>
          </w:tcPr>
          <w:p w:rsidR="00B376C1" w:rsidRPr="00AE39BF" w:rsidRDefault="00B376C1" w:rsidP="00B376C1">
            <w:pPr>
              <w:pStyle w:val="Tabelle"/>
            </w:pPr>
            <w:r w:rsidRPr="00887059">
              <w:t>MAS 40 F</w:t>
            </w:r>
          </w:p>
        </w:tc>
        <w:tc>
          <w:tcPr>
            <w:tcW w:w="1255" w:type="dxa"/>
          </w:tcPr>
          <w:p w:rsidR="00B376C1" w:rsidRPr="00AE39BF" w:rsidRDefault="00B376C1" w:rsidP="00B376C1">
            <w:pPr>
              <w:pStyle w:val="Tabelle"/>
            </w:pPr>
            <w:r>
              <w:t>380</w:t>
            </w:r>
          </w:p>
        </w:tc>
        <w:tc>
          <w:tcPr>
            <w:tcW w:w="1219" w:type="dxa"/>
          </w:tcPr>
          <w:p w:rsidR="00B376C1" w:rsidRPr="00AE39BF" w:rsidRDefault="00B376C1" w:rsidP="00B376C1">
            <w:pPr>
              <w:pStyle w:val="Tabelle"/>
            </w:pPr>
            <w:r w:rsidRPr="00AE39BF">
              <w:t>’14 Mais, ’15 Mais, ’16 Kürbis</w:t>
            </w:r>
          </w:p>
        </w:tc>
      </w:tr>
      <w:tr w:rsidR="00B376C1" w:rsidRPr="002013FE" w:rsidTr="00B376C1">
        <w:trPr>
          <w:trHeight w:val="241"/>
          <w:jc w:val="right"/>
        </w:trPr>
        <w:tc>
          <w:tcPr>
            <w:tcW w:w="2578" w:type="dxa"/>
            <w:shd w:val="clear" w:color="auto" w:fill="auto"/>
          </w:tcPr>
          <w:p w:rsidR="00B376C1" w:rsidRPr="00AE39BF" w:rsidRDefault="00B376C1" w:rsidP="00B376C1">
            <w:pPr>
              <w:pStyle w:val="Tabelle"/>
            </w:pPr>
            <w:r w:rsidRPr="00AE39BF">
              <w:t>Schwarza 2</w:t>
            </w:r>
            <w:r w:rsidRPr="00AE39BF">
              <w:rPr>
                <w:vertAlign w:val="superscript"/>
              </w:rPr>
              <w:t>2</w:t>
            </w:r>
          </w:p>
        </w:tc>
        <w:tc>
          <w:tcPr>
            <w:tcW w:w="1360" w:type="dxa"/>
            <w:shd w:val="clear" w:color="auto" w:fill="auto"/>
          </w:tcPr>
          <w:p w:rsidR="00B376C1" w:rsidRPr="00AE39BF" w:rsidRDefault="00B376C1" w:rsidP="00B376C1">
            <w:pPr>
              <w:pStyle w:val="Tabelle"/>
            </w:pPr>
            <w:r w:rsidRPr="00AE39BF">
              <w:t xml:space="preserve">46° 71,2892’ N / </w:t>
            </w:r>
            <w:r>
              <w:br/>
            </w:r>
            <w:r w:rsidRPr="00AE39BF">
              <w:t>15° 68,5087’ O</w:t>
            </w:r>
          </w:p>
        </w:tc>
        <w:tc>
          <w:tcPr>
            <w:tcW w:w="1640" w:type="dxa"/>
            <w:shd w:val="clear" w:color="auto" w:fill="auto"/>
          </w:tcPr>
          <w:p w:rsidR="00B376C1" w:rsidRDefault="00B376C1" w:rsidP="00B376C1">
            <w:pPr>
              <w:pStyle w:val="Tabelle"/>
            </w:pPr>
            <w:r w:rsidRPr="00AE5220">
              <w:rPr>
                <w:rFonts w:ascii="Calibri" w:hAnsi="Calibri" w:cs="Calibri"/>
                <w:sz w:val="22"/>
                <w:szCs w:val="22"/>
              </w:rPr>
              <w:t>Dianem</w:t>
            </w:r>
          </w:p>
        </w:tc>
        <w:tc>
          <w:tcPr>
            <w:tcW w:w="1126" w:type="dxa"/>
          </w:tcPr>
          <w:p w:rsidR="00B376C1" w:rsidRPr="00AE39BF" w:rsidRDefault="00B376C1" w:rsidP="00B376C1">
            <w:pPr>
              <w:pStyle w:val="Tabelle"/>
            </w:pPr>
            <w:r w:rsidRPr="00887059">
              <w:t>MAS 47 P</w:t>
            </w:r>
          </w:p>
        </w:tc>
        <w:tc>
          <w:tcPr>
            <w:tcW w:w="1255" w:type="dxa"/>
          </w:tcPr>
          <w:p w:rsidR="00B376C1" w:rsidRPr="00AE39BF" w:rsidRDefault="00B376C1" w:rsidP="00B376C1">
            <w:pPr>
              <w:pStyle w:val="Tabelle"/>
            </w:pPr>
            <w:r>
              <w:t>820</w:t>
            </w:r>
          </w:p>
        </w:tc>
        <w:tc>
          <w:tcPr>
            <w:tcW w:w="1219" w:type="dxa"/>
          </w:tcPr>
          <w:p w:rsidR="00B376C1" w:rsidRPr="00AE39BF" w:rsidRDefault="00B376C1" w:rsidP="00B376C1">
            <w:pPr>
              <w:pStyle w:val="Tabelle"/>
            </w:pPr>
            <w:r w:rsidRPr="00AE39BF">
              <w:t>’14 Mais, ’15 Kürbis, ’16 Mais</w:t>
            </w:r>
          </w:p>
        </w:tc>
      </w:tr>
      <w:tr w:rsidR="00B376C1" w:rsidRPr="002013FE" w:rsidTr="00B376C1">
        <w:trPr>
          <w:trHeight w:val="241"/>
          <w:jc w:val="right"/>
        </w:trPr>
        <w:tc>
          <w:tcPr>
            <w:tcW w:w="2578" w:type="dxa"/>
            <w:shd w:val="clear" w:color="auto" w:fill="auto"/>
          </w:tcPr>
          <w:p w:rsidR="00B376C1" w:rsidRPr="00AE39BF" w:rsidRDefault="00B376C1" w:rsidP="00B376C1">
            <w:pPr>
              <w:pStyle w:val="Tabelle"/>
            </w:pPr>
            <w:r w:rsidRPr="00AE39BF">
              <w:t>Schwarza 3</w:t>
            </w:r>
            <w:r w:rsidRPr="00AE39BF">
              <w:rPr>
                <w:vertAlign w:val="superscript"/>
              </w:rPr>
              <w:t>2</w:t>
            </w:r>
          </w:p>
        </w:tc>
        <w:tc>
          <w:tcPr>
            <w:tcW w:w="1360" w:type="dxa"/>
            <w:shd w:val="clear" w:color="auto" w:fill="auto"/>
          </w:tcPr>
          <w:p w:rsidR="00B376C1" w:rsidRPr="00AE39BF" w:rsidRDefault="00B376C1" w:rsidP="00B376C1">
            <w:pPr>
              <w:pStyle w:val="Tabelle"/>
            </w:pPr>
            <w:r w:rsidRPr="00AE39BF">
              <w:t xml:space="preserve">46° 71,5836’ N / </w:t>
            </w:r>
            <w:r>
              <w:br/>
            </w:r>
            <w:r w:rsidRPr="00AE39BF">
              <w:t>15° 66,8716’ O</w:t>
            </w:r>
          </w:p>
        </w:tc>
        <w:tc>
          <w:tcPr>
            <w:tcW w:w="1640" w:type="dxa"/>
            <w:shd w:val="clear" w:color="auto" w:fill="auto"/>
          </w:tcPr>
          <w:p w:rsidR="00B376C1" w:rsidRDefault="00B376C1" w:rsidP="00B376C1">
            <w:pPr>
              <w:pStyle w:val="Tabelle"/>
            </w:pPr>
            <w:r w:rsidRPr="00AE5220">
              <w:rPr>
                <w:rFonts w:ascii="Calibri" w:hAnsi="Calibri" w:cs="Calibri"/>
                <w:sz w:val="22"/>
                <w:szCs w:val="22"/>
              </w:rPr>
              <w:t>Dianem</w:t>
            </w:r>
          </w:p>
        </w:tc>
        <w:tc>
          <w:tcPr>
            <w:tcW w:w="1126" w:type="dxa"/>
          </w:tcPr>
          <w:p w:rsidR="00B376C1" w:rsidRPr="00AE39BF" w:rsidRDefault="00B376C1" w:rsidP="00B376C1">
            <w:pPr>
              <w:pStyle w:val="Tabelle"/>
            </w:pPr>
            <w:r>
              <w:t xml:space="preserve">Maisadour </w:t>
            </w:r>
            <w:r w:rsidRPr="00887059">
              <w:t>Sortenversuch</w:t>
            </w:r>
          </w:p>
        </w:tc>
        <w:tc>
          <w:tcPr>
            <w:tcW w:w="1255" w:type="dxa"/>
          </w:tcPr>
          <w:p w:rsidR="00B376C1" w:rsidRPr="00AE39BF" w:rsidRDefault="00B376C1" w:rsidP="00B376C1">
            <w:pPr>
              <w:pStyle w:val="Tabelle"/>
            </w:pPr>
            <w:r>
              <w:t>950</w:t>
            </w:r>
          </w:p>
        </w:tc>
        <w:tc>
          <w:tcPr>
            <w:tcW w:w="1219" w:type="dxa"/>
          </w:tcPr>
          <w:p w:rsidR="00B376C1" w:rsidRPr="00AE39BF" w:rsidRDefault="00B376C1" w:rsidP="00B376C1">
            <w:pPr>
              <w:pStyle w:val="Tabelle"/>
            </w:pPr>
            <w:r w:rsidRPr="00AE39BF">
              <w:t>’14 Mais, ’15 Kürbis, ’16 Mais</w:t>
            </w:r>
          </w:p>
        </w:tc>
      </w:tr>
      <w:tr w:rsidR="00B376C1" w:rsidRPr="002013FE" w:rsidTr="00B376C1">
        <w:trPr>
          <w:trHeight w:val="241"/>
          <w:jc w:val="right"/>
        </w:trPr>
        <w:tc>
          <w:tcPr>
            <w:tcW w:w="2578" w:type="dxa"/>
            <w:shd w:val="clear" w:color="auto" w:fill="auto"/>
          </w:tcPr>
          <w:p w:rsidR="00B376C1" w:rsidRPr="00AE39BF" w:rsidRDefault="00B376C1" w:rsidP="00B376C1">
            <w:pPr>
              <w:pStyle w:val="Tabelle"/>
            </w:pPr>
            <w:r w:rsidRPr="00AE39BF">
              <w:t>Schwarza 4</w:t>
            </w:r>
            <w:r w:rsidRPr="00AE39BF">
              <w:rPr>
                <w:vertAlign w:val="superscript"/>
              </w:rPr>
              <w:t>2</w:t>
            </w:r>
          </w:p>
        </w:tc>
        <w:tc>
          <w:tcPr>
            <w:tcW w:w="1360" w:type="dxa"/>
            <w:shd w:val="clear" w:color="auto" w:fill="auto"/>
          </w:tcPr>
          <w:p w:rsidR="00B376C1" w:rsidRPr="00AE39BF" w:rsidRDefault="00B376C1" w:rsidP="00B376C1">
            <w:pPr>
              <w:pStyle w:val="Tabelle"/>
            </w:pPr>
            <w:r w:rsidRPr="00AE39BF">
              <w:t xml:space="preserve">46° 72,0483’ N / </w:t>
            </w:r>
            <w:r w:rsidRPr="00AE39BF">
              <w:br/>
              <w:t>15° 68,1044’ O</w:t>
            </w:r>
          </w:p>
        </w:tc>
        <w:tc>
          <w:tcPr>
            <w:tcW w:w="1640" w:type="dxa"/>
            <w:shd w:val="clear" w:color="auto" w:fill="auto"/>
          </w:tcPr>
          <w:p w:rsidR="00B376C1" w:rsidRDefault="00B376C1" w:rsidP="00B376C1">
            <w:pPr>
              <w:pStyle w:val="Tabelle"/>
            </w:pPr>
            <w:r w:rsidRPr="00AE5220">
              <w:rPr>
                <w:rFonts w:ascii="Calibri" w:hAnsi="Calibri" w:cs="Calibri"/>
                <w:sz w:val="22"/>
                <w:szCs w:val="22"/>
              </w:rPr>
              <w:t>Dianem</w:t>
            </w:r>
          </w:p>
        </w:tc>
        <w:tc>
          <w:tcPr>
            <w:tcW w:w="1126" w:type="dxa"/>
          </w:tcPr>
          <w:p w:rsidR="00B376C1" w:rsidRPr="00AE39BF" w:rsidRDefault="00B376C1" w:rsidP="00B376C1">
            <w:pPr>
              <w:pStyle w:val="Tabelle"/>
            </w:pPr>
            <w:r w:rsidRPr="00887059">
              <w:t>MAS 47 P</w:t>
            </w:r>
          </w:p>
        </w:tc>
        <w:tc>
          <w:tcPr>
            <w:tcW w:w="1255" w:type="dxa"/>
          </w:tcPr>
          <w:p w:rsidR="00B376C1" w:rsidRPr="00AE39BF" w:rsidRDefault="00B376C1" w:rsidP="00B376C1">
            <w:pPr>
              <w:pStyle w:val="Tabelle"/>
            </w:pPr>
            <w:r>
              <w:t>1590</w:t>
            </w:r>
          </w:p>
        </w:tc>
        <w:tc>
          <w:tcPr>
            <w:tcW w:w="1219" w:type="dxa"/>
          </w:tcPr>
          <w:p w:rsidR="00B376C1" w:rsidRPr="00AE39BF" w:rsidRDefault="00B376C1" w:rsidP="00B376C1">
            <w:pPr>
              <w:pStyle w:val="Tabelle"/>
            </w:pPr>
            <w:r w:rsidRPr="00AE39BF">
              <w:t>’14 Mais, ’15 Kürbis, ’16 Mais</w:t>
            </w:r>
          </w:p>
        </w:tc>
      </w:tr>
      <w:tr w:rsidR="00B376C1" w:rsidRPr="00B376C1" w:rsidTr="00B376C1">
        <w:trPr>
          <w:trHeight w:val="241"/>
          <w:jc w:val="right"/>
        </w:trPr>
        <w:tc>
          <w:tcPr>
            <w:tcW w:w="2578" w:type="dxa"/>
            <w:shd w:val="clear" w:color="auto" w:fill="auto"/>
          </w:tcPr>
          <w:p w:rsidR="00B376C1" w:rsidRPr="00AE39BF" w:rsidRDefault="00B376C1" w:rsidP="00B376C1">
            <w:pPr>
              <w:pStyle w:val="Tabelle"/>
            </w:pPr>
            <w:r w:rsidRPr="00AE39BF">
              <w:t xml:space="preserve">Schwarza V </w:t>
            </w:r>
            <w:r w:rsidRPr="00AE39BF">
              <w:rPr>
                <w:vertAlign w:val="superscript"/>
              </w:rPr>
              <w:t>1,2</w:t>
            </w:r>
          </w:p>
        </w:tc>
        <w:tc>
          <w:tcPr>
            <w:tcW w:w="1360" w:type="dxa"/>
            <w:shd w:val="clear" w:color="auto" w:fill="auto"/>
          </w:tcPr>
          <w:p w:rsidR="00B376C1" w:rsidRPr="00AE39BF" w:rsidRDefault="00B376C1" w:rsidP="00B376C1">
            <w:pPr>
              <w:pStyle w:val="Tabelle"/>
            </w:pPr>
            <w:r w:rsidRPr="00AE39BF">
              <w:t xml:space="preserve">46° 72,1720’ N / </w:t>
            </w:r>
            <w:r>
              <w:br/>
            </w:r>
            <w:r w:rsidRPr="00AE39BF">
              <w:t>15° 66,8689’ O</w:t>
            </w:r>
          </w:p>
        </w:tc>
        <w:tc>
          <w:tcPr>
            <w:tcW w:w="1640" w:type="dxa"/>
            <w:shd w:val="clear" w:color="auto" w:fill="auto"/>
          </w:tcPr>
          <w:p w:rsidR="00B376C1" w:rsidRDefault="00B376C1" w:rsidP="00B376C1">
            <w:pPr>
              <w:pStyle w:val="Tabelle"/>
            </w:pPr>
            <w:r w:rsidRPr="00AE5220">
              <w:rPr>
                <w:rFonts w:ascii="Calibri" w:hAnsi="Calibri" w:cs="Calibri"/>
                <w:sz w:val="22"/>
                <w:szCs w:val="22"/>
              </w:rPr>
              <w:t>Dianem</w:t>
            </w:r>
            <w:r>
              <w:rPr>
                <w:rFonts w:ascii="Calibri" w:hAnsi="Calibri" w:cs="Calibri"/>
                <w:sz w:val="22"/>
                <w:szCs w:val="22"/>
              </w:rPr>
              <w:t>, Belem, UK</w:t>
            </w:r>
          </w:p>
        </w:tc>
        <w:tc>
          <w:tcPr>
            <w:tcW w:w="1126" w:type="dxa"/>
          </w:tcPr>
          <w:p w:rsidR="00B376C1" w:rsidRPr="00AE39BF" w:rsidRDefault="00B376C1" w:rsidP="00B376C1">
            <w:pPr>
              <w:pStyle w:val="Tabelle"/>
            </w:pPr>
            <w:r w:rsidRPr="00887059">
              <w:t>MAS 40 F</w:t>
            </w:r>
          </w:p>
        </w:tc>
        <w:tc>
          <w:tcPr>
            <w:tcW w:w="1255" w:type="dxa"/>
          </w:tcPr>
          <w:p w:rsidR="00B376C1" w:rsidRPr="00AE39BF" w:rsidRDefault="00B376C1" w:rsidP="00B376C1">
            <w:pPr>
              <w:pStyle w:val="Tabelle"/>
            </w:pPr>
            <w:r>
              <w:t>1620</w:t>
            </w:r>
          </w:p>
        </w:tc>
        <w:tc>
          <w:tcPr>
            <w:tcW w:w="1219" w:type="dxa"/>
          </w:tcPr>
          <w:p w:rsidR="00B376C1" w:rsidRPr="00AE286F" w:rsidRDefault="00B376C1" w:rsidP="00B376C1">
            <w:pPr>
              <w:pStyle w:val="Tabelle"/>
              <w:rPr>
                <w:lang w:val="en-US"/>
              </w:rPr>
            </w:pPr>
            <w:r w:rsidRPr="00AE286F">
              <w:rPr>
                <w:lang w:val="en-US"/>
              </w:rPr>
              <w:t>’14 Mais, ’15 Mais, ’16 Mais</w:t>
            </w:r>
          </w:p>
        </w:tc>
      </w:tr>
      <w:tr w:rsidR="00B376C1" w:rsidRPr="00B376C1" w:rsidTr="00B376C1">
        <w:trPr>
          <w:trHeight w:val="241"/>
          <w:jc w:val="right"/>
        </w:trPr>
        <w:tc>
          <w:tcPr>
            <w:tcW w:w="2578" w:type="dxa"/>
            <w:shd w:val="clear" w:color="auto" w:fill="auto"/>
          </w:tcPr>
          <w:p w:rsidR="00B376C1" w:rsidRPr="00AE39BF" w:rsidRDefault="00B376C1" w:rsidP="00B376C1">
            <w:pPr>
              <w:pStyle w:val="Tabelle"/>
            </w:pPr>
            <w:r w:rsidRPr="00AE39BF">
              <w:t>Lichendorf 1</w:t>
            </w:r>
            <w:r w:rsidRPr="00AE39BF">
              <w:rPr>
                <w:vertAlign w:val="superscript"/>
              </w:rPr>
              <w:t>2</w:t>
            </w:r>
          </w:p>
        </w:tc>
        <w:tc>
          <w:tcPr>
            <w:tcW w:w="1360" w:type="dxa"/>
            <w:shd w:val="clear" w:color="auto" w:fill="auto"/>
          </w:tcPr>
          <w:p w:rsidR="00B376C1" w:rsidRPr="00AE39BF" w:rsidRDefault="00B376C1" w:rsidP="00B376C1">
            <w:pPr>
              <w:pStyle w:val="Tabelle"/>
            </w:pPr>
            <w:r w:rsidRPr="00AE39BF">
              <w:t xml:space="preserve">46° 70,5645’ N / </w:t>
            </w:r>
            <w:r>
              <w:br/>
            </w:r>
            <w:r w:rsidRPr="00AE39BF">
              <w:t>15° 68,9394’ O</w:t>
            </w:r>
          </w:p>
        </w:tc>
        <w:tc>
          <w:tcPr>
            <w:tcW w:w="1640" w:type="dxa"/>
            <w:shd w:val="clear" w:color="auto" w:fill="auto"/>
          </w:tcPr>
          <w:p w:rsidR="00B376C1" w:rsidRDefault="00B376C1" w:rsidP="00B376C1">
            <w:pPr>
              <w:pStyle w:val="Tabelle"/>
            </w:pPr>
            <w:r w:rsidRPr="00AE5220">
              <w:rPr>
                <w:rFonts w:ascii="Calibri" w:hAnsi="Calibri" w:cs="Calibri"/>
                <w:sz w:val="22"/>
                <w:szCs w:val="22"/>
              </w:rPr>
              <w:t>Dianem</w:t>
            </w:r>
          </w:p>
        </w:tc>
        <w:tc>
          <w:tcPr>
            <w:tcW w:w="1126" w:type="dxa"/>
          </w:tcPr>
          <w:p w:rsidR="00B376C1" w:rsidRPr="00AE39BF" w:rsidRDefault="00B376C1" w:rsidP="00B376C1">
            <w:pPr>
              <w:pStyle w:val="Tabelle"/>
            </w:pPr>
            <w:r w:rsidRPr="00887059">
              <w:t>Memoxx</w:t>
            </w:r>
          </w:p>
        </w:tc>
        <w:tc>
          <w:tcPr>
            <w:tcW w:w="1255" w:type="dxa"/>
          </w:tcPr>
          <w:p w:rsidR="00B376C1" w:rsidRPr="00AE39BF" w:rsidRDefault="00B376C1" w:rsidP="00B376C1">
            <w:pPr>
              <w:pStyle w:val="Tabelle"/>
            </w:pPr>
            <w:r>
              <w:t>280</w:t>
            </w:r>
          </w:p>
        </w:tc>
        <w:tc>
          <w:tcPr>
            <w:tcW w:w="1219" w:type="dxa"/>
          </w:tcPr>
          <w:p w:rsidR="00B376C1" w:rsidRPr="00AE286F" w:rsidRDefault="00B376C1" w:rsidP="00B376C1">
            <w:pPr>
              <w:pStyle w:val="Tabelle"/>
              <w:rPr>
                <w:lang w:val="en-US"/>
              </w:rPr>
            </w:pPr>
            <w:r w:rsidRPr="00AE286F">
              <w:rPr>
                <w:lang w:val="en-US"/>
              </w:rPr>
              <w:t>’14 Mais, ’15 Mais, ’16 Mais</w:t>
            </w:r>
          </w:p>
        </w:tc>
      </w:tr>
      <w:tr w:rsidR="00B376C1" w:rsidRPr="002013FE" w:rsidTr="00B376C1">
        <w:trPr>
          <w:trHeight w:val="241"/>
          <w:jc w:val="right"/>
        </w:trPr>
        <w:tc>
          <w:tcPr>
            <w:tcW w:w="2578" w:type="dxa"/>
            <w:shd w:val="clear" w:color="auto" w:fill="auto"/>
          </w:tcPr>
          <w:p w:rsidR="00B376C1" w:rsidRPr="00AE39BF" w:rsidRDefault="00B376C1" w:rsidP="00B376C1">
            <w:pPr>
              <w:pStyle w:val="Tabelle"/>
            </w:pPr>
            <w:r w:rsidRPr="00AE39BF">
              <w:t>Lichendorf 2</w:t>
            </w:r>
            <w:r w:rsidRPr="00AE39BF">
              <w:rPr>
                <w:vertAlign w:val="superscript"/>
              </w:rPr>
              <w:t>2</w:t>
            </w:r>
          </w:p>
        </w:tc>
        <w:tc>
          <w:tcPr>
            <w:tcW w:w="1360" w:type="dxa"/>
            <w:shd w:val="clear" w:color="auto" w:fill="auto"/>
          </w:tcPr>
          <w:p w:rsidR="00B376C1" w:rsidRPr="00AE39BF" w:rsidRDefault="00B376C1" w:rsidP="00B376C1">
            <w:pPr>
              <w:pStyle w:val="Tabelle"/>
            </w:pPr>
            <w:r w:rsidRPr="00AE39BF">
              <w:t xml:space="preserve">46° 70,3406’ N / </w:t>
            </w:r>
            <w:r>
              <w:br/>
            </w:r>
            <w:r w:rsidRPr="00AE39BF">
              <w:t>15° 70,0432’ O</w:t>
            </w:r>
          </w:p>
        </w:tc>
        <w:tc>
          <w:tcPr>
            <w:tcW w:w="1640" w:type="dxa"/>
            <w:shd w:val="clear" w:color="auto" w:fill="auto"/>
          </w:tcPr>
          <w:p w:rsidR="00B376C1" w:rsidRDefault="00B376C1" w:rsidP="00B376C1">
            <w:pPr>
              <w:pStyle w:val="Tabelle"/>
            </w:pPr>
            <w:r w:rsidRPr="00AE5220">
              <w:rPr>
                <w:rFonts w:ascii="Calibri" w:hAnsi="Calibri" w:cs="Calibri"/>
                <w:sz w:val="22"/>
                <w:szCs w:val="22"/>
              </w:rPr>
              <w:t>Dianem</w:t>
            </w:r>
          </w:p>
        </w:tc>
        <w:tc>
          <w:tcPr>
            <w:tcW w:w="1126" w:type="dxa"/>
          </w:tcPr>
          <w:p w:rsidR="00B376C1" w:rsidRPr="00AE39BF" w:rsidRDefault="00B376C1" w:rsidP="00B376C1">
            <w:pPr>
              <w:pStyle w:val="Tabelle"/>
            </w:pPr>
            <w:r w:rsidRPr="00887059">
              <w:t>MAS 40 F</w:t>
            </w:r>
          </w:p>
        </w:tc>
        <w:tc>
          <w:tcPr>
            <w:tcW w:w="1255" w:type="dxa"/>
          </w:tcPr>
          <w:p w:rsidR="00B376C1" w:rsidRPr="00AE39BF" w:rsidRDefault="00B376C1" w:rsidP="00B376C1">
            <w:pPr>
              <w:pStyle w:val="Tabelle"/>
            </w:pPr>
            <w:r>
              <w:t>540</w:t>
            </w:r>
          </w:p>
        </w:tc>
        <w:tc>
          <w:tcPr>
            <w:tcW w:w="1219" w:type="dxa"/>
          </w:tcPr>
          <w:p w:rsidR="00B376C1" w:rsidRPr="00AE39BF" w:rsidRDefault="00B376C1" w:rsidP="00B376C1">
            <w:pPr>
              <w:pStyle w:val="Tabelle"/>
            </w:pPr>
            <w:r w:rsidRPr="00AE39BF">
              <w:t>’14 Kürbis, ’15 Mais, ’16 Hirse</w:t>
            </w:r>
          </w:p>
        </w:tc>
      </w:tr>
      <w:tr w:rsidR="00B376C1" w:rsidRPr="00B376C1" w:rsidTr="00B376C1">
        <w:trPr>
          <w:trHeight w:val="241"/>
          <w:jc w:val="right"/>
        </w:trPr>
        <w:tc>
          <w:tcPr>
            <w:tcW w:w="2578" w:type="dxa"/>
            <w:shd w:val="clear" w:color="auto" w:fill="auto"/>
          </w:tcPr>
          <w:p w:rsidR="00B376C1" w:rsidRPr="00AE39BF" w:rsidRDefault="00B376C1" w:rsidP="00B376C1">
            <w:pPr>
              <w:pStyle w:val="Tabelle"/>
            </w:pPr>
            <w:r w:rsidRPr="00AE39BF">
              <w:t>Lichendorf 3</w:t>
            </w:r>
            <w:r w:rsidRPr="00AE39BF">
              <w:rPr>
                <w:vertAlign w:val="superscript"/>
              </w:rPr>
              <w:t>2</w:t>
            </w:r>
          </w:p>
        </w:tc>
        <w:tc>
          <w:tcPr>
            <w:tcW w:w="1360" w:type="dxa"/>
            <w:shd w:val="clear" w:color="auto" w:fill="auto"/>
          </w:tcPr>
          <w:p w:rsidR="00B376C1" w:rsidRPr="00AE39BF" w:rsidRDefault="00B376C1" w:rsidP="00B376C1">
            <w:pPr>
              <w:pStyle w:val="Tabelle"/>
            </w:pPr>
            <w:r w:rsidRPr="00AE39BF">
              <w:t xml:space="preserve">46° 71,5508’ N / </w:t>
            </w:r>
            <w:r>
              <w:br/>
            </w:r>
            <w:r w:rsidRPr="00AE39BF">
              <w:t>15° 69,2567’ O</w:t>
            </w:r>
          </w:p>
        </w:tc>
        <w:tc>
          <w:tcPr>
            <w:tcW w:w="1640" w:type="dxa"/>
            <w:shd w:val="clear" w:color="auto" w:fill="auto"/>
          </w:tcPr>
          <w:p w:rsidR="00B376C1" w:rsidRDefault="00B376C1" w:rsidP="00B376C1">
            <w:pPr>
              <w:pStyle w:val="Tabelle"/>
            </w:pPr>
            <w:r w:rsidRPr="00AE5220">
              <w:rPr>
                <w:rFonts w:ascii="Calibri" w:hAnsi="Calibri" w:cs="Calibri"/>
                <w:sz w:val="22"/>
                <w:szCs w:val="22"/>
              </w:rPr>
              <w:t>Dianem</w:t>
            </w:r>
          </w:p>
        </w:tc>
        <w:tc>
          <w:tcPr>
            <w:tcW w:w="1126" w:type="dxa"/>
          </w:tcPr>
          <w:p w:rsidR="00B376C1" w:rsidRPr="00AE39BF" w:rsidRDefault="00B376C1" w:rsidP="00B376C1">
            <w:pPr>
              <w:pStyle w:val="Tabelle"/>
            </w:pPr>
            <w:r w:rsidRPr="00887059">
              <w:t>MAS 47 P</w:t>
            </w:r>
          </w:p>
        </w:tc>
        <w:tc>
          <w:tcPr>
            <w:tcW w:w="1255" w:type="dxa"/>
          </w:tcPr>
          <w:p w:rsidR="00B376C1" w:rsidRPr="00AE39BF" w:rsidRDefault="00B376C1" w:rsidP="00B376C1">
            <w:pPr>
              <w:pStyle w:val="Tabelle"/>
            </w:pPr>
            <w:r>
              <w:t>1360</w:t>
            </w:r>
          </w:p>
        </w:tc>
        <w:tc>
          <w:tcPr>
            <w:tcW w:w="1219" w:type="dxa"/>
          </w:tcPr>
          <w:p w:rsidR="00B376C1" w:rsidRPr="00AE286F" w:rsidRDefault="00B376C1" w:rsidP="00B376C1">
            <w:pPr>
              <w:pStyle w:val="Tabelle"/>
              <w:rPr>
                <w:lang w:val="en-US"/>
              </w:rPr>
            </w:pPr>
            <w:r w:rsidRPr="00AE286F">
              <w:rPr>
                <w:lang w:val="en-US"/>
              </w:rPr>
              <w:t>’14 Mais, ’15 Mais, ’16 Mais</w:t>
            </w:r>
          </w:p>
        </w:tc>
      </w:tr>
      <w:tr w:rsidR="00B376C1" w:rsidRPr="00B376C1" w:rsidTr="00B376C1">
        <w:trPr>
          <w:trHeight w:val="241"/>
          <w:jc w:val="right"/>
        </w:trPr>
        <w:tc>
          <w:tcPr>
            <w:tcW w:w="2578" w:type="dxa"/>
            <w:shd w:val="clear" w:color="auto" w:fill="auto"/>
          </w:tcPr>
          <w:p w:rsidR="00B376C1" w:rsidRPr="00AE39BF" w:rsidRDefault="00B376C1" w:rsidP="00B376C1">
            <w:pPr>
              <w:pStyle w:val="Tabelle"/>
            </w:pPr>
            <w:r w:rsidRPr="00AE39BF">
              <w:t>Lichendorf 4</w:t>
            </w:r>
            <w:r w:rsidRPr="00AE39BF">
              <w:rPr>
                <w:vertAlign w:val="superscript"/>
              </w:rPr>
              <w:t>2</w:t>
            </w:r>
          </w:p>
        </w:tc>
        <w:tc>
          <w:tcPr>
            <w:tcW w:w="1360" w:type="dxa"/>
            <w:shd w:val="clear" w:color="auto" w:fill="auto"/>
          </w:tcPr>
          <w:p w:rsidR="00B376C1" w:rsidRPr="00AE39BF" w:rsidRDefault="00B376C1" w:rsidP="00B376C1">
            <w:pPr>
              <w:pStyle w:val="Tabelle"/>
            </w:pPr>
            <w:r w:rsidRPr="00AE39BF">
              <w:t xml:space="preserve">46° 71,5035’ N / </w:t>
            </w:r>
            <w:r>
              <w:br/>
            </w:r>
            <w:r w:rsidRPr="00AE39BF">
              <w:t>15° 70,7248’ O</w:t>
            </w:r>
          </w:p>
        </w:tc>
        <w:tc>
          <w:tcPr>
            <w:tcW w:w="1640" w:type="dxa"/>
            <w:shd w:val="clear" w:color="auto" w:fill="auto"/>
          </w:tcPr>
          <w:p w:rsidR="00B376C1" w:rsidRDefault="00B376C1" w:rsidP="00B376C1">
            <w:pPr>
              <w:pStyle w:val="Tabelle"/>
            </w:pPr>
            <w:r w:rsidRPr="00AE5220">
              <w:rPr>
                <w:rFonts w:ascii="Calibri" w:hAnsi="Calibri" w:cs="Calibri"/>
                <w:sz w:val="22"/>
                <w:szCs w:val="22"/>
              </w:rPr>
              <w:t>Dianem</w:t>
            </w:r>
          </w:p>
        </w:tc>
        <w:tc>
          <w:tcPr>
            <w:tcW w:w="1126" w:type="dxa"/>
          </w:tcPr>
          <w:p w:rsidR="00B376C1" w:rsidRPr="00AE39BF" w:rsidRDefault="00B376C1" w:rsidP="00B376C1">
            <w:pPr>
              <w:pStyle w:val="Tabelle"/>
            </w:pPr>
            <w:r w:rsidRPr="00887059">
              <w:t>Ferarixx</w:t>
            </w:r>
          </w:p>
        </w:tc>
        <w:tc>
          <w:tcPr>
            <w:tcW w:w="1255" w:type="dxa"/>
          </w:tcPr>
          <w:p w:rsidR="00B376C1" w:rsidRPr="00AE39BF" w:rsidRDefault="00B376C1" w:rsidP="00B376C1">
            <w:pPr>
              <w:pStyle w:val="Tabelle"/>
            </w:pPr>
            <w:r>
              <w:t>1830</w:t>
            </w:r>
          </w:p>
        </w:tc>
        <w:tc>
          <w:tcPr>
            <w:tcW w:w="1219" w:type="dxa"/>
          </w:tcPr>
          <w:p w:rsidR="00B376C1" w:rsidRPr="00AE286F" w:rsidRDefault="00B376C1" w:rsidP="00B376C1">
            <w:pPr>
              <w:pStyle w:val="Tabelle"/>
              <w:rPr>
                <w:lang w:val="en-US"/>
              </w:rPr>
            </w:pPr>
            <w:r w:rsidRPr="00AE286F">
              <w:rPr>
                <w:lang w:val="en-US"/>
              </w:rPr>
              <w:t>’14 Mais, ’15 Mais, ’16 Hirse</w:t>
            </w:r>
          </w:p>
        </w:tc>
      </w:tr>
      <w:tr w:rsidR="00B376C1" w:rsidRPr="00B376C1" w:rsidTr="00B376C1">
        <w:trPr>
          <w:trHeight w:val="241"/>
          <w:jc w:val="right"/>
        </w:trPr>
        <w:tc>
          <w:tcPr>
            <w:tcW w:w="2578" w:type="dxa"/>
            <w:shd w:val="clear" w:color="auto" w:fill="auto"/>
          </w:tcPr>
          <w:p w:rsidR="00B376C1" w:rsidRPr="00AE39BF" w:rsidRDefault="00B376C1" w:rsidP="00B376C1">
            <w:pPr>
              <w:pStyle w:val="Tabelle"/>
            </w:pPr>
            <w:r w:rsidRPr="00AE39BF">
              <w:t>Lichendorf</w:t>
            </w:r>
            <w:r>
              <w:t xml:space="preserve"> </w:t>
            </w:r>
            <w:r w:rsidRPr="00AE39BF">
              <w:t>V</w:t>
            </w:r>
            <w:r w:rsidRPr="00AE39BF">
              <w:rPr>
                <w:vertAlign w:val="superscript"/>
              </w:rPr>
              <w:t>1,2</w:t>
            </w:r>
          </w:p>
        </w:tc>
        <w:tc>
          <w:tcPr>
            <w:tcW w:w="1360" w:type="dxa"/>
            <w:shd w:val="clear" w:color="auto" w:fill="auto"/>
          </w:tcPr>
          <w:p w:rsidR="00B376C1" w:rsidRPr="00AE39BF" w:rsidRDefault="00B376C1" w:rsidP="00B376C1">
            <w:pPr>
              <w:pStyle w:val="Tabelle"/>
            </w:pPr>
            <w:r w:rsidRPr="00AE39BF">
              <w:t xml:space="preserve">46° 70,8868’ N / </w:t>
            </w:r>
            <w:r>
              <w:br/>
            </w:r>
            <w:r w:rsidRPr="00AE39BF">
              <w:t>15° 69,8041’ O</w:t>
            </w:r>
          </w:p>
        </w:tc>
        <w:tc>
          <w:tcPr>
            <w:tcW w:w="1640" w:type="dxa"/>
            <w:shd w:val="clear" w:color="auto" w:fill="auto"/>
          </w:tcPr>
          <w:p w:rsidR="00B376C1" w:rsidRDefault="00B376C1" w:rsidP="00B376C1">
            <w:pPr>
              <w:pStyle w:val="Tabelle"/>
            </w:pPr>
            <w:r w:rsidRPr="00AE5220">
              <w:rPr>
                <w:rFonts w:ascii="Calibri" w:hAnsi="Calibri" w:cs="Calibri"/>
                <w:sz w:val="22"/>
                <w:szCs w:val="22"/>
              </w:rPr>
              <w:t>Dianem</w:t>
            </w:r>
            <w:r>
              <w:rPr>
                <w:rFonts w:ascii="Calibri" w:hAnsi="Calibri" w:cs="Calibri"/>
                <w:sz w:val="22"/>
                <w:szCs w:val="22"/>
              </w:rPr>
              <w:t>, Belem, UK</w:t>
            </w:r>
          </w:p>
        </w:tc>
        <w:tc>
          <w:tcPr>
            <w:tcW w:w="1126" w:type="dxa"/>
          </w:tcPr>
          <w:p w:rsidR="00B376C1" w:rsidRPr="00AE39BF" w:rsidRDefault="00B376C1" w:rsidP="00B376C1">
            <w:pPr>
              <w:pStyle w:val="Tabelle"/>
            </w:pPr>
            <w:r w:rsidRPr="00887059">
              <w:t>Ferarixx</w:t>
            </w:r>
          </w:p>
        </w:tc>
        <w:tc>
          <w:tcPr>
            <w:tcW w:w="1255" w:type="dxa"/>
          </w:tcPr>
          <w:p w:rsidR="00B376C1" w:rsidRPr="00AE39BF" w:rsidRDefault="00B376C1" w:rsidP="00B376C1">
            <w:pPr>
              <w:pStyle w:val="Tabelle"/>
            </w:pPr>
            <w:r>
              <w:t>1130</w:t>
            </w:r>
          </w:p>
        </w:tc>
        <w:tc>
          <w:tcPr>
            <w:tcW w:w="1219" w:type="dxa"/>
          </w:tcPr>
          <w:p w:rsidR="00B376C1" w:rsidRPr="00AE286F" w:rsidRDefault="00B376C1" w:rsidP="00B376C1">
            <w:pPr>
              <w:pStyle w:val="Tabelle"/>
              <w:rPr>
                <w:lang w:val="en-US"/>
              </w:rPr>
            </w:pPr>
            <w:r w:rsidRPr="00AE286F">
              <w:rPr>
                <w:lang w:val="en-US"/>
              </w:rPr>
              <w:t>’14 Mais, ’15 Mais, ’16 Mais</w:t>
            </w:r>
          </w:p>
        </w:tc>
      </w:tr>
    </w:tbl>
    <w:p w:rsidR="00B376C1" w:rsidRPr="00B376C1" w:rsidRDefault="00B376C1" w:rsidP="00B376C1">
      <w:pPr>
        <w:pStyle w:val="Tabelle"/>
        <w:rPr>
          <w:lang w:val="en-US" w:eastAsia="ja-JP"/>
        </w:rPr>
      </w:pPr>
    </w:p>
    <w:p w:rsidR="00DE45D3" w:rsidRPr="00B376C1" w:rsidRDefault="00DE45D3" w:rsidP="00DE45D3">
      <w:pPr>
        <w:pStyle w:val="Tabelle"/>
        <w:rPr>
          <w:lang w:val="en-US" w:eastAsia="ja-JP"/>
        </w:rPr>
      </w:pPr>
    </w:p>
    <w:p w:rsidR="00402D84" w:rsidRPr="00AE286F" w:rsidRDefault="00402D84" w:rsidP="00402D84">
      <w:pPr>
        <w:pStyle w:val="Flietext"/>
        <w:rPr>
          <w:lang w:val="en-US"/>
        </w:rPr>
      </w:pPr>
    </w:p>
    <w:p w:rsidR="00402D84" w:rsidRDefault="00402D84" w:rsidP="00BE36E2">
      <w:pPr>
        <w:pStyle w:val="11Unterkapitel"/>
      </w:pPr>
      <w:bookmarkStart w:id="93" w:name="_Toc533059334"/>
      <w:bookmarkStart w:id="94" w:name="_Ref533060090"/>
      <w:bookmarkStart w:id="95" w:name="_Toc7715576"/>
      <w:r>
        <w:t>Persistenz und virulenz ausgebrachter insektenpathogener Nematoden im Boden</w:t>
      </w:r>
      <w:bookmarkEnd w:id="93"/>
      <w:bookmarkEnd w:id="94"/>
      <w:bookmarkEnd w:id="95"/>
    </w:p>
    <w:p w:rsidR="00402D84" w:rsidRDefault="00402D84" w:rsidP="00680B58">
      <w:pPr>
        <w:pStyle w:val="Flietext"/>
        <w:jc w:val="both"/>
        <w:rPr>
          <w:lang w:eastAsia="de-DE"/>
        </w:rPr>
      </w:pPr>
      <w:r>
        <w:rPr>
          <w:lang w:eastAsia="de-DE"/>
        </w:rPr>
        <w:t>Zum Nachweis von</w:t>
      </w:r>
      <w:r w:rsidRPr="00302B23">
        <w:rPr>
          <w:lang w:eastAsia="de-DE"/>
        </w:rPr>
        <w:t xml:space="preserve"> </w:t>
      </w:r>
      <w:r>
        <w:rPr>
          <w:lang w:eastAsia="de-DE"/>
        </w:rPr>
        <w:t>Persistenz und Virulenz der im Versuchsfeld vorhandenen</w:t>
      </w:r>
      <w:r w:rsidRPr="00302B23">
        <w:rPr>
          <w:lang w:eastAsia="de-DE"/>
        </w:rPr>
        <w:t xml:space="preserve"> insektenpathogenen Nematoden</w:t>
      </w:r>
      <w:r>
        <w:rPr>
          <w:lang w:eastAsia="de-DE"/>
        </w:rPr>
        <w:t xml:space="preserve"> wurde der Persistenztest nach Pilz et al. (2014) sowie </w:t>
      </w:r>
      <w:r w:rsidRPr="00302B23">
        <w:rPr>
          <w:lang w:eastAsia="de-DE"/>
        </w:rPr>
        <w:t xml:space="preserve">eine alternative Nachweismethode (angeregt </w:t>
      </w:r>
      <w:r>
        <w:rPr>
          <w:lang w:eastAsia="de-DE"/>
        </w:rPr>
        <w:t>durch Hr. Vandenbossche/e-nema; n</w:t>
      </w:r>
      <w:r w:rsidRPr="00302B23">
        <w:rPr>
          <w:lang w:eastAsia="de-DE"/>
        </w:rPr>
        <w:t>ach Preisser (2005)</w:t>
      </w:r>
      <w:r>
        <w:rPr>
          <w:lang w:eastAsia="de-DE"/>
        </w:rPr>
        <w:t>) angewandt.</w:t>
      </w:r>
    </w:p>
    <w:p w:rsidR="00402D84" w:rsidRPr="00302B23" w:rsidRDefault="00402D84" w:rsidP="00680B58">
      <w:pPr>
        <w:pStyle w:val="Flietext"/>
        <w:jc w:val="both"/>
        <w:rPr>
          <w:lang w:eastAsia="de-DE"/>
        </w:rPr>
      </w:pPr>
      <w:r w:rsidRPr="00302B23">
        <w:rPr>
          <w:lang w:eastAsia="de-DE"/>
        </w:rPr>
        <w:t xml:space="preserve">In Anlehnung an den Persistenztest nach Pilz </w:t>
      </w:r>
      <w:r>
        <w:rPr>
          <w:lang w:eastAsia="de-DE"/>
        </w:rPr>
        <w:t xml:space="preserve">et al. </w:t>
      </w:r>
      <w:r w:rsidRPr="00302B23">
        <w:rPr>
          <w:lang w:eastAsia="de-DE"/>
        </w:rPr>
        <w:t>wurden pro untersuchte</w:t>
      </w:r>
      <w:r>
        <w:rPr>
          <w:lang w:eastAsia="de-DE"/>
        </w:rPr>
        <w:t>m Standort</w:t>
      </w:r>
      <w:r w:rsidRPr="00302B23">
        <w:rPr>
          <w:lang w:eastAsia="de-DE"/>
        </w:rPr>
        <w:t xml:space="preserve"> </w:t>
      </w:r>
      <w:r>
        <w:rPr>
          <w:lang w:eastAsia="de-DE"/>
        </w:rPr>
        <w:t xml:space="preserve">Mischproben </w:t>
      </w:r>
      <w:r w:rsidRPr="00302B23">
        <w:rPr>
          <w:lang w:eastAsia="de-DE"/>
        </w:rPr>
        <w:t>gezogen. Hierfür wurde die oberste (trockene) Erdschichte entfernt und die darunterliegende feuchte Erde entnommen.</w:t>
      </w:r>
      <w:r>
        <w:rPr>
          <w:lang w:eastAsia="de-DE"/>
        </w:rPr>
        <w:t xml:space="preserve"> Im Labor wurden die Mischproben</w:t>
      </w:r>
      <w:r w:rsidRPr="00302B23">
        <w:rPr>
          <w:lang w:eastAsia="de-DE"/>
        </w:rPr>
        <w:t xml:space="preserve"> in 250 ml fassende Plastikdosen gefüllt. Als Nullprobe wurde eine Variante mit Gramoflor </w:t>
      </w:r>
      <w:r w:rsidRPr="001D3CB3">
        <w:rPr>
          <w:lang w:eastAsia="de-DE"/>
        </w:rPr>
        <w:t xml:space="preserve">Presstopfsubstrat angelegt. Pro Dose wurden 20 Mehlwürmer (Larven des Mehlkäfers </w:t>
      </w:r>
      <w:r w:rsidRPr="001D3CB3">
        <w:rPr>
          <w:i/>
          <w:lang w:eastAsia="de-DE"/>
        </w:rPr>
        <w:t>Tenebrio molitor</w:t>
      </w:r>
      <w:r w:rsidRPr="001D3CB3">
        <w:rPr>
          <w:lang w:eastAsia="de-DE"/>
        </w:rPr>
        <w:t>) zugefügt (</w:t>
      </w:r>
      <w:r w:rsidRPr="001D3CB3">
        <w:rPr>
          <w:color w:val="FF0000"/>
          <w:lang w:eastAsia="de-DE"/>
        </w:rPr>
        <w:fldChar w:fldCharType="begin"/>
      </w:r>
      <w:r w:rsidRPr="001D3CB3">
        <w:rPr>
          <w:lang w:eastAsia="de-DE"/>
        </w:rPr>
        <w:instrText xml:space="preserve"> REF _Ref533058236 \h </w:instrText>
      </w:r>
      <w:r w:rsidR="00FF2494" w:rsidRPr="001D3CB3">
        <w:rPr>
          <w:color w:val="FF0000"/>
          <w:lang w:eastAsia="de-DE"/>
        </w:rPr>
        <w:instrText xml:space="preserve"> \* MERGEFORMAT </w:instrText>
      </w:r>
      <w:r w:rsidRPr="001D3CB3">
        <w:rPr>
          <w:color w:val="FF0000"/>
          <w:lang w:eastAsia="de-DE"/>
        </w:rPr>
      </w:r>
      <w:r w:rsidRPr="001D3CB3">
        <w:rPr>
          <w:color w:val="FF0000"/>
          <w:lang w:eastAsia="de-DE"/>
        </w:rPr>
        <w:fldChar w:fldCharType="separate"/>
      </w:r>
      <w:r w:rsidR="00FF2494" w:rsidRPr="001D3CB3">
        <w:t xml:space="preserve">Abbildung </w:t>
      </w:r>
      <w:r w:rsidR="00FF2494" w:rsidRPr="001D3CB3">
        <w:rPr>
          <w:noProof/>
        </w:rPr>
        <w:t>15</w:t>
      </w:r>
      <w:r w:rsidRPr="001D3CB3">
        <w:rPr>
          <w:color w:val="FF0000"/>
          <w:lang w:eastAsia="de-DE"/>
        </w:rPr>
        <w:fldChar w:fldCharType="end"/>
      </w:r>
      <w:r w:rsidRPr="001D3CB3">
        <w:rPr>
          <w:lang w:eastAsia="de-DE"/>
        </w:rPr>
        <w:t>). Die Versuchsdosen lagerten</w:t>
      </w:r>
      <w:r w:rsidRPr="00302B23">
        <w:rPr>
          <w:lang w:eastAsia="de-DE"/>
        </w:rPr>
        <w:t xml:space="preserve"> für eine Woche in einer Klimakammer bei 25</w:t>
      </w:r>
      <w:r w:rsidRPr="00302B23">
        <w:rPr>
          <w:rFonts w:cs="Calibri"/>
          <w:lang w:eastAsia="de-DE"/>
        </w:rPr>
        <w:t>±</w:t>
      </w:r>
      <w:r w:rsidRPr="00302B23">
        <w:rPr>
          <w:lang w:eastAsia="de-DE"/>
        </w:rPr>
        <w:t>2 °C und bei einer LF von 65</w:t>
      </w:r>
      <w:r w:rsidRPr="00302B23">
        <w:rPr>
          <w:rFonts w:cs="Calibri"/>
          <w:lang w:eastAsia="de-DE"/>
        </w:rPr>
        <w:t>±</w:t>
      </w:r>
      <w:r w:rsidRPr="00302B23">
        <w:rPr>
          <w:lang w:eastAsia="de-DE"/>
        </w:rPr>
        <w:t xml:space="preserve">5 %. Die Auswertung erfolgte </w:t>
      </w:r>
      <w:r>
        <w:rPr>
          <w:lang w:eastAsia="de-DE"/>
        </w:rPr>
        <w:t xml:space="preserve">durch Zählung </w:t>
      </w:r>
      <w:r w:rsidRPr="00302B23">
        <w:rPr>
          <w:lang w:eastAsia="de-DE"/>
        </w:rPr>
        <w:t>lebende</w:t>
      </w:r>
      <w:r>
        <w:rPr>
          <w:lang w:eastAsia="de-DE"/>
        </w:rPr>
        <w:t>r</w:t>
      </w:r>
      <w:r w:rsidRPr="00302B23">
        <w:rPr>
          <w:lang w:eastAsia="de-DE"/>
        </w:rPr>
        <w:t xml:space="preserve"> und tote</w:t>
      </w:r>
      <w:r>
        <w:rPr>
          <w:lang w:eastAsia="de-DE"/>
        </w:rPr>
        <w:t>r</w:t>
      </w:r>
      <w:r w:rsidRPr="00302B23">
        <w:rPr>
          <w:lang w:eastAsia="de-DE"/>
        </w:rPr>
        <w:t xml:space="preserve"> Mehlwürmer. Eine Rotfärbung der toten Larven bestätigte vorweg die Infektion mit Nematoden</w:t>
      </w:r>
      <w:r>
        <w:rPr>
          <w:lang w:eastAsia="de-DE"/>
        </w:rPr>
        <w:t xml:space="preserve"> bzw. deren assoziierten Bakterien</w:t>
      </w:r>
      <w:r w:rsidRPr="00302B23">
        <w:rPr>
          <w:lang w:eastAsia="de-DE"/>
        </w:rPr>
        <w:t>. Lebende Mehlwürmer wurden eine weitere Woche in den Dosen belass</w:t>
      </w:r>
      <w:r w:rsidR="00B46990">
        <w:rPr>
          <w:lang w:eastAsia="de-DE"/>
        </w:rPr>
        <w:t xml:space="preserve">en. Tote Mehlwürmer wurden auf </w:t>
      </w:r>
      <w:r w:rsidRPr="00302B23">
        <w:rPr>
          <w:lang w:eastAsia="de-DE"/>
        </w:rPr>
        <w:t>Weißfalle</w:t>
      </w:r>
      <w:r>
        <w:rPr>
          <w:lang w:eastAsia="de-DE"/>
        </w:rPr>
        <w:t>n</w:t>
      </w:r>
      <w:r w:rsidRPr="00302B23">
        <w:rPr>
          <w:lang w:eastAsia="de-DE"/>
        </w:rPr>
        <w:t xml:space="preserve"> gesammelt. Die Weißfalle besteht aus einer Plastikwanne (30x20 cm) mit einer umgedrehten Styropor-Fleischuntertasse als erhöhtem Mittelteil. Darüber befinden sich zwei L</w:t>
      </w:r>
      <w:r w:rsidR="00B46990">
        <w:rPr>
          <w:lang w:eastAsia="de-DE"/>
        </w:rPr>
        <w:t xml:space="preserve">agen Zellstoff, deren Enden in </w:t>
      </w:r>
      <w:r w:rsidRPr="00302B23">
        <w:rPr>
          <w:lang w:eastAsia="de-DE"/>
        </w:rPr>
        <w:t xml:space="preserve">die ca. 2 cm mit Wasser gefüllte Dose eintauchen. Tote </w:t>
      </w:r>
      <w:r w:rsidRPr="001D3CB3">
        <w:rPr>
          <w:lang w:eastAsia="de-DE"/>
        </w:rPr>
        <w:t>Mehlwürmer und sich darin befindliche Nematoden werden durch die Kapillarkräfte des Wassers feucht gehalten (</w:t>
      </w:r>
      <w:r w:rsidRPr="001D3CB3">
        <w:rPr>
          <w:color w:val="auto"/>
          <w:lang w:eastAsia="de-DE"/>
        </w:rPr>
        <w:fldChar w:fldCharType="begin"/>
      </w:r>
      <w:r w:rsidRPr="001D3CB3">
        <w:rPr>
          <w:color w:val="auto"/>
          <w:lang w:eastAsia="de-DE"/>
        </w:rPr>
        <w:instrText xml:space="preserve"> REF _Ref533058251 \h </w:instrText>
      </w:r>
      <w:r w:rsidR="00680B58" w:rsidRPr="001D3CB3">
        <w:rPr>
          <w:color w:val="auto"/>
          <w:lang w:eastAsia="de-DE"/>
        </w:rPr>
        <w:instrText xml:space="preserve"> \* MERGEFORMAT </w:instrText>
      </w:r>
      <w:r w:rsidRPr="001D3CB3">
        <w:rPr>
          <w:color w:val="auto"/>
          <w:lang w:eastAsia="de-DE"/>
        </w:rPr>
      </w:r>
      <w:r w:rsidRPr="001D3CB3">
        <w:rPr>
          <w:color w:val="auto"/>
          <w:lang w:eastAsia="de-DE"/>
        </w:rPr>
        <w:fldChar w:fldCharType="separate"/>
      </w:r>
      <w:r w:rsidR="00680B58" w:rsidRPr="001D3CB3">
        <w:rPr>
          <w:color w:val="auto"/>
        </w:rPr>
        <w:t xml:space="preserve">Abbildung </w:t>
      </w:r>
      <w:r w:rsidR="00680B58" w:rsidRPr="001D3CB3">
        <w:rPr>
          <w:noProof/>
          <w:color w:val="auto"/>
        </w:rPr>
        <w:t>16</w:t>
      </w:r>
      <w:r w:rsidRPr="001D3CB3">
        <w:rPr>
          <w:color w:val="auto"/>
          <w:lang w:eastAsia="de-DE"/>
        </w:rPr>
        <w:fldChar w:fldCharType="end"/>
      </w:r>
      <w:r w:rsidRPr="001D3CB3">
        <w:rPr>
          <w:color w:val="auto"/>
          <w:lang w:eastAsia="de-DE"/>
        </w:rPr>
        <w:t>). Na</w:t>
      </w:r>
      <w:r w:rsidRPr="001D3CB3">
        <w:rPr>
          <w:lang w:eastAsia="de-DE"/>
        </w:rPr>
        <w:t>ch einer weiteren Woche in der Klimakammer bei 25</w:t>
      </w:r>
      <w:r w:rsidRPr="001D3CB3">
        <w:rPr>
          <w:rFonts w:cs="Calibri"/>
          <w:lang w:eastAsia="de-DE"/>
        </w:rPr>
        <w:t>±</w:t>
      </w:r>
      <w:r w:rsidRPr="001D3CB3">
        <w:rPr>
          <w:lang w:eastAsia="de-DE"/>
        </w:rPr>
        <w:t>2 °C und bei einer LF von 65</w:t>
      </w:r>
      <w:r w:rsidRPr="001D3CB3">
        <w:rPr>
          <w:rFonts w:cs="Calibri"/>
          <w:lang w:eastAsia="de-DE"/>
        </w:rPr>
        <w:t>±</w:t>
      </w:r>
      <w:r w:rsidRPr="001D3CB3">
        <w:rPr>
          <w:lang w:eastAsia="de-DE"/>
        </w:rPr>
        <w:t>5 % wurden die Mehlwürmer unter</w:t>
      </w:r>
      <w:r w:rsidRPr="00302B23">
        <w:rPr>
          <w:lang w:eastAsia="de-DE"/>
        </w:rPr>
        <w:t xml:space="preserve"> dem Binokular seziert und Rotfärbung, Nematodenbefall </w:t>
      </w:r>
      <w:r>
        <w:rPr>
          <w:lang w:eastAsia="de-DE"/>
        </w:rPr>
        <w:t xml:space="preserve">und weitere Todesursachen (Pilzbefall, etc.) </w:t>
      </w:r>
      <w:r w:rsidRPr="00302B23">
        <w:rPr>
          <w:lang w:eastAsia="de-DE"/>
        </w:rPr>
        <w:t>bonitiert. In den Dosen verbliebene Mehlwürmer, die bis zum Auswertungszeitpunkt verendet sind, wurden ebenfalls sofort seziert.</w:t>
      </w:r>
    </w:p>
    <w:p w:rsidR="00402D84" w:rsidRPr="00302B23" w:rsidRDefault="00402D84" w:rsidP="00402D84">
      <w:pPr>
        <w:pStyle w:val="Flietext"/>
        <w:rPr>
          <w:lang w:eastAsia="de-DE"/>
        </w:rPr>
      </w:pPr>
      <w:r w:rsidRPr="00302B23">
        <w:rPr>
          <w:noProof/>
          <w:lang w:eastAsia="de-AT"/>
        </w:rPr>
        <w:drawing>
          <wp:inline distT="0" distB="0" distL="0" distR="0" wp14:anchorId="306588D1" wp14:editId="423E877A">
            <wp:extent cx="2763520" cy="2075180"/>
            <wp:effectExtent l="0" t="0" r="0" b="1270"/>
            <wp:docPr id="16" name="Grafik 16" descr="D:\Fotos\2017\2017_04_April\2017_04_10bis23_incl.Diacont\IMG_7908.JPG" title="Mehlwür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descr="D:\Fotos\2017\2017_04_April\2017_04_10bis23_incl.Diacont\IMG_790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63520" cy="2075180"/>
                    </a:xfrm>
                    <a:prstGeom prst="rect">
                      <a:avLst/>
                    </a:prstGeom>
                    <a:noFill/>
                    <a:ln>
                      <a:noFill/>
                    </a:ln>
                  </pic:spPr>
                </pic:pic>
              </a:graphicData>
            </a:graphic>
          </wp:inline>
        </w:drawing>
      </w:r>
      <w:r w:rsidRPr="00302B23">
        <w:rPr>
          <w:lang w:eastAsia="de-DE"/>
        </w:rPr>
        <w:t xml:space="preserve"> </w:t>
      </w:r>
      <w:r w:rsidRPr="00302B23">
        <w:rPr>
          <w:noProof/>
          <w:lang w:eastAsia="de-AT"/>
        </w:rPr>
        <w:drawing>
          <wp:inline distT="0" distB="0" distL="0" distR="0" wp14:anchorId="73E02D15" wp14:editId="7A2E6FB1">
            <wp:extent cx="2763520" cy="2075180"/>
            <wp:effectExtent l="0" t="0" r="0" b="1270"/>
            <wp:docPr id="17" name="Grafik 17" descr="D:\Fotos\2017\2017_04_April\2017_04_10bis23_incl.Diacont\IMG_7872.JPG" title="Mehlwurm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descr="D:\Fotos\2017\2017_04_April\2017_04_10bis23_incl.Diacont\IMG_787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63520" cy="2075180"/>
                    </a:xfrm>
                    <a:prstGeom prst="rect">
                      <a:avLst/>
                    </a:prstGeom>
                    <a:noFill/>
                    <a:ln>
                      <a:noFill/>
                    </a:ln>
                  </pic:spPr>
                </pic:pic>
              </a:graphicData>
            </a:graphic>
          </wp:inline>
        </w:drawing>
      </w:r>
    </w:p>
    <w:p w:rsidR="00402D84" w:rsidRPr="003D69F7" w:rsidRDefault="00402D84" w:rsidP="00FF2494">
      <w:pPr>
        <w:pStyle w:val="Beschriftung"/>
        <w:ind w:left="0"/>
        <w:rPr>
          <w:color w:val="auto"/>
          <w:lang w:eastAsia="de-DE"/>
        </w:rPr>
      </w:pPr>
      <w:bookmarkStart w:id="96" w:name="_Ref533058236"/>
      <w:bookmarkStart w:id="97" w:name="_Toc533059380"/>
      <w:bookmarkStart w:id="98" w:name="_Toc7715406"/>
      <w:r>
        <w:t xml:space="preserve">Abbildung </w:t>
      </w:r>
      <w:r>
        <w:rPr>
          <w:noProof/>
        </w:rPr>
        <w:fldChar w:fldCharType="begin"/>
      </w:r>
      <w:r>
        <w:rPr>
          <w:noProof/>
        </w:rPr>
        <w:instrText xml:space="preserve"> SEQ Abbildung \* ARABIC </w:instrText>
      </w:r>
      <w:r>
        <w:rPr>
          <w:noProof/>
        </w:rPr>
        <w:fldChar w:fldCharType="separate"/>
      </w:r>
      <w:r w:rsidR="00FF2494">
        <w:rPr>
          <w:noProof/>
        </w:rPr>
        <w:t>15</w:t>
      </w:r>
      <w:r>
        <w:rPr>
          <w:noProof/>
        </w:rPr>
        <w:fldChar w:fldCharType="end"/>
      </w:r>
      <w:bookmarkEnd w:id="96"/>
      <w:r w:rsidRPr="003D69F7">
        <w:rPr>
          <w:color w:val="auto"/>
        </w:rPr>
        <w:t xml:space="preserve">: </w:t>
      </w:r>
      <w:r w:rsidRPr="003D69F7">
        <w:rPr>
          <w:color w:val="auto"/>
          <w:lang w:eastAsia="de-DE"/>
        </w:rPr>
        <w:t>Dose mit Erdprobe und Mehlwürmern (links)</w:t>
      </w:r>
      <w:bookmarkEnd w:id="97"/>
      <w:r w:rsidRPr="003D69F7">
        <w:rPr>
          <w:color w:val="auto"/>
          <w:lang w:eastAsia="de-DE"/>
        </w:rPr>
        <w:tab/>
      </w:r>
      <w:bookmarkStart w:id="99" w:name="_Ref533058251"/>
      <w:bookmarkStart w:id="100" w:name="_Toc533059381"/>
      <w:r w:rsidRPr="003D69F7">
        <w:rPr>
          <w:color w:val="auto"/>
        </w:rPr>
        <w:t xml:space="preserve">Abbildung </w:t>
      </w:r>
      <w:r w:rsidRPr="003D69F7">
        <w:rPr>
          <w:noProof/>
          <w:color w:val="auto"/>
        </w:rPr>
        <w:fldChar w:fldCharType="begin"/>
      </w:r>
      <w:r w:rsidRPr="003D69F7">
        <w:rPr>
          <w:noProof/>
          <w:color w:val="auto"/>
        </w:rPr>
        <w:instrText xml:space="preserve"> SEQ Abbildung \* ARABIC </w:instrText>
      </w:r>
      <w:r w:rsidRPr="003D69F7">
        <w:rPr>
          <w:noProof/>
          <w:color w:val="auto"/>
        </w:rPr>
        <w:fldChar w:fldCharType="separate"/>
      </w:r>
      <w:r w:rsidR="00FF2494">
        <w:rPr>
          <w:noProof/>
          <w:color w:val="auto"/>
        </w:rPr>
        <w:t>16</w:t>
      </w:r>
      <w:r w:rsidRPr="003D69F7">
        <w:rPr>
          <w:noProof/>
          <w:color w:val="auto"/>
        </w:rPr>
        <w:fldChar w:fldCharType="end"/>
      </w:r>
      <w:bookmarkEnd w:id="99"/>
      <w:r w:rsidRPr="003D69F7">
        <w:rPr>
          <w:color w:val="auto"/>
        </w:rPr>
        <w:t xml:space="preserve">: </w:t>
      </w:r>
      <w:r w:rsidRPr="003D69F7">
        <w:rPr>
          <w:color w:val="auto"/>
          <w:lang w:eastAsia="de-DE"/>
        </w:rPr>
        <w:t>Weißfalle mit toten Mehlwürmern (rechts)</w:t>
      </w:r>
      <w:bookmarkEnd w:id="100"/>
      <w:bookmarkEnd w:id="98"/>
    </w:p>
    <w:p w:rsidR="00402D84" w:rsidRPr="00302B23" w:rsidRDefault="00402D84" w:rsidP="00680B58">
      <w:pPr>
        <w:pStyle w:val="Flietext"/>
        <w:jc w:val="both"/>
        <w:rPr>
          <w:lang w:eastAsia="de-DE"/>
        </w:rPr>
      </w:pPr>
      <w:r w:rsidRPr="00302B23">
        <w:rPr>
          <w:lang w:eastAsia="de-DE"/>
        </w:rPr>
        <w:t xml:space="preserve">Neben dieser etablierten Methode wurde eine alternative </w:t>
      </w:r>
      <w:r w:rsidRPr="001D3CB3">
        <w:rPr>
          <w:lang w:eastAsia="de-DE"/>
        </w:rPr>
        <w:t>Nachweismethode (angeregt durch Hr. Vandenbossche/e-nema) getestet. Nach Preisser (2005) wurden die unteren Enden von Falcon Tubes (50 ml) abgesägt und mit engmaschigem Gewebe (Vorhangstoff) verschlossen (</w:t>
      </w:r>
      <w:r w:rsidRPr="001D3CB3">
        <w:rPr>
          <w:color w:val="auto"/>
          <w:lang w:eastAsia="de-DE"/>
        </w:rPr>
        <w:fldChar w:fldCharType="begin"/>
      </w:r>
      <w:r w:rsidRPr="001D3CB3">
        <w:rPr>
          <w:color w:val="auto"/>
          <w:lang w:eastAsia="de-DE"/>
        </w:rPr>
        <w:instrText xml:space="preserve"> REF _Ref533058283 \h </w:instrText>
      </w:r>
      <w:r w:rsidR="00680B58" w:rsidRPr="001D3CB3">
        <w:rPr>
          <w:color w:val="auto"/>
          <w:lang w:eastAsia="de-DE"/>
        </w:rPr>
        <w:instrText xml:space="preserve"> \* MERGEFORMAT </w:instrText>
      </w:r>
      <w:r w:rsidRPr="001D3CB3">
        <w:rPr>
          <w:color w:val="auto"/>
          <w:lang w:eastAsia="de-DE"/>
        </w:rPr>
      </w:r>
      <w:r w:rsidRPr="001D3CB3">
        <w:rPr>
          <w:color w:val="auto"/>
          <w:lang w:eastAsia="de-DE"/>
        </w:rPr>
        <w:fldChar w:fldCharType="separate"/>
      </w:r>
      <w:r w:rsidR="00680B58" w:rsidRPr="001D3CB3">
        <w:t xml:space="preserve">Abbildung </w:t>
      </w:r>
      <w:r w:rsidR="00680B58" w:rsidRPr="001D3CB3">
        <w:rPr>
          <w:noProof/>
        </w:rPr>
        <w:t>17</w:t>
      </w:r>
      <w:r w:rsidRPr="001D3CB3">
        <w:rPr>
          <w:color w:val="auto"/>
          <w:lang w:eastAsia="de-DE"/>
        </w:rPr>
        <w:fldChar w:fldCharType="end"/>
      </w:r>
      <w:r w:rsidRPr="001D3CB3">
        <w:rPr>
          <w:color w:val="auto"/>
          <w:lang w:eastAsia="de-DE"/>
        </w:rPr>
        <w:t xml:space="preserve">). </w:t>
      </w:r>
      <w:r w:rsidRPr="001D3CB3">
        <w:rPr>
          <w:lang w:eastAsia="de-DE"/>
        </w:rPr>
        <w:t>Die Deckel der Tubes wurden mit Luftlöchern versehen. Die Tubes wurden zu drei Viertel mit Gramoflor Presstopfsubstrat befüllt und mit 20 Mehlwürmern besetzt. 500 ml-Blumentöpfe aus Kunststoff wurden mit Erde der Probennahmen gefüllt und darin jeweils drei Tubes so eingesetzt (</w:t>
      </w:r>
      <w:r w:rsidRPr="001D3CB3">
        <w:rPr>
          <w:color w:val="FF0000"/>
          <w:lang w:eastAsia="de-DE"/>
        </w:rPr>
        <w:fldChar w:fldCharType="begin"/>
      </w:r>
      <w:r w:rsidRPr="001D3CB3">
        <w:rPr>
          <w:lang w:eastAsia="de-DE"/>
        </w:rPr>
        <w:instrText xml:space="preserve"> REF _Ref533058294 \h </w:instrText>
      </w:r>
      <w:r w:rsidR="00680B58" w:rsidRPr="001D3CB3">
        <w:rPr>
          <w:color w:val="FF0000"/>
          <w:lang w:eastAsia="de-DE"/>
        </w:rPr>
        <w:instrText xml:space="preserve"> \* MERGEFORMAT </w:instrText>
      </w:r>
      <w:r w:rsidRPr="001D3CB3">
        <w:rPr>
          <w:color w:val="FF0000"/>
          <w:lang w:eastAsia="de-DE"/>
        </w:rPr>
      </w:r>
      <w:r w:rsidRPr="001D3CB3">
        <w:rPr>
          <w:color w:val="FF0000"/>
          <w:lang w:eastAsia="de-DE"/>
        </w:rPr>
        <w:fldChar w:fldCharType="separate"/>
      </w:r>
      <w:r w:rsidR="00680B58" w:rsidRPr="001D3CB3">
        <w:rPr>
          <w:color w:val="auto"/>
        </w:rPr>
        <w:t>Abbildung</w:t>
      </w:r>
      <w:r w:rsidR="00680B58" w:rsidRPr="001D3CB3">
        <w:rPr>
          <w:noProof/>
          <w:color w:val="auto"/>
        </w:rPr>
        <w:t xml:space="preserve"> 18</w:t>
      </w:r>
      <w:r w:rsidRPr="001D3CB3">
        <w:rPr>
          <w:color w:val="FF0000"/>
          <w:lang w:eastAsia="de-DE"/>
        </w:rPr>
        <w:fldChar w:fldCharType="end"/>
      </w:r>
      <w:r w:rsidRPr="001D3CB3">
        <w:rPr>
          <w:lang w:eastAsia="de-DE"/>
        </w:rPr>
        <w:t>), sodass die Erde in den Tubes bzw. der Vorhangstoff der Tubes gut an der Erde in den Töpfen anliegt, um den</w:t>
      </w:r>
      <w:r w:rsidRPr="00302B23">
        <w:rPr>
          <w:lang w:eastAsia="de-DE"/>
        </w:rPr>
        <w:t xml:space="preserve"> insektenpathogenen Nematoden</w:t>
      </w:r>
      <w:r>
        <w:rPr>
          <w:lang w:eastAsia="de-DE"/>
        </w:rPr>
        <w:t xml:space="preserve"> ungehinderte Wanderung </w:t>
      </w:r>
      <w:r w:rsidRPr="00302B23">
        <w:rPr>
          <w:lang w:eastAsia="de-DE"/>
        </w:rPr>
        <w:t xml:space="preserve">zwischen </w:t>
      </w:r>
      <w:r>
        <w:rPr>
          <w:lang w:eastAsia="de-DE"/>
        </w:rPr>
        <w:t xml:space="preserve">den Substraten in </w:t>
      </w:r>
      <w:r w:rsidRPr="00302B23">
        <w:rPr>
          <w:lang w:eastAsia="de-DE"/>
        </w:rPr>
        <w:t xml:space="preserve">Tubes und Topf </w:t>
      </w:r>
      <w:r>
        <w:rPr>
          <w:lang w:eastAsia="de-DE"/>
        </w:rPr>
        <w:t xml:space="preserve">zu gewährleisten. </w:t>
      </w:r>
      <w:r w:rsidRPr="00302B23">
        <w:rPr>
          <w:lang w:eastAsia="de-DE"/>
        </w:rPr>
        <w:t xml:space="preserve">Diese Versuchseinheiten wurden im überdachten Freiland platziert und die Erde feucht gehalten. Zwei Wochen nach Versuchsansatz erfolgte die </w:t>
      </w:r>
      <w:r>
        <w:rPr>
          <w:lang w:eastAsia="de-DE"/>
        </w:rPr>
        <w:t xml:space="preserve">Zählung </w:t>
      </w:r>
      <w:r w:rsidRPr="00302B23">
        <w:rPr>
          <w:lang w:eastAsia="de-DE"/>
        </w:rPr>
        <w:t>lebende</w:t>
      </w:r>
      <w:r>
        <w:rPr>
          <w:lang w:eastAsia="de-DE"/>
        </w:rPr>
        <w:t>r</w:t>
      </w:r>
      <w:r w:rsidRPr="00302B23">
        <w:rPr>
          <w:lang w:eastAsia="de-DE"/>
        </w:rPr>
        <w:t xml:space="preserve"> und tote</w:t>
      </w:r>
      <w:r>
        <w:rPr>
          <w:lang w:eastAsia="de-DE"/>
        </w:rPr>
        <w:t>r</w:t>
      </w:r>
      <w:r w:rsidRPr="00302B23">
        <w:rPr>
          <w:lang w:eastAsia="de-DE"/>
        </w:rPr>
        <w:t xml:space="preserve"> Mehlwürmer. Weitere Auswertungsschritte entsprachen jenen des Persistenztests nach Pilz.</w:t>
      </w:r>
    </w:p>
    <w:p w:rsidR="00402D84" w:rsidRPr="00302B23" w:rsidRDefault="00402D84" w:rsidP="00680B58">
      <w:pPr>
        <w:pStyle w:val="Flietext"/>
        <w:jc w:val="both"/>
        <w:rPr>
          <w:lang w:eastAsia="de-DE"/>
        </w:rPr>
      </w:pPr>
      <w:r w:rsidRPr="00302B23">
        <w:rPr>
          <w:lang w:eastAsia="de-DE"/>
        </w:rPr>
        <w:t>Zusätzlich zu den Persistenztests mit Me</w:t>
      </w:r>
      <w:r>
        <w:rPr>
          <w:lang w:eastAsia="de-DE"/>
        </w:rPr>
        <w:t>hrwürmern wurden Bonituren von Maisw</w:t>
      </w:r>
      <w:r w:rsidRPr="00302B23">
        <w:rPr>
          <w:lang w:eastAsia="de-DE"/>
        </w:rPr>
        <w:t xml:space="preserve">urzelballen auf parasitierte Diabrotica-Larven durchgeführt. </w:t>
      </w:r>
      <w:r>
        <w:rPr>
          <w:lang w:eastAsia="de-DE"/>
        </w:rPr>
        <w:t>Im</w:t>
      </w:r>
      <w:r w:rsidRPr="00302B23">
        <w:rPr>
          <w:lang w:eastAsia="de-DE"/>
        </w:rPr>
        <w:t xml:space="preserve"> Labor </w:t>
      </w:r>
      <w:r>
        <w:rPr>
          <w:lang w:eastAsia="de-DE"/>
        </w:rPr>
        <w:t xml:space="preserve">wurden die Wurzeln von Erde befreit und sowohl Wurzeln als auch Erde unter dem Binokular </w:t>
      </w:r>
      <w:r w:rsidRPr="00302B23">
        <w:rPr>
          <w:lang w:eastAsia="de-DE"/>
        </w:rPr>
        <w:t xml:space="preserve">auf tote und lebende </w:t>
      </w:r>
      <w:r w:rsidRPr="00302B23">
        <w:rPr>
          <w:i/>
          <w:lang w:eastAsia="de-DE"/>
        </w:rPr>
        <w:t>D. virgifera</w:t>
      </w:r>
      <w:r w:rsidRPr="00302B23">
        <w:rPr>
          <w:lang w:eastAsia="de-DE"/>
        </w:rPr>
        <w:t xml:space="preserve">-Larven untersucht. </w:t>
      </w:r>
    </w:p>
    <w:p w:rsidR="00402D84" w:rsidRPr="00302B23" w:rsidRDefault="00402D84" w:rsidP="00402D84">
      <w:pPr>
        <w:pStyle w:val="Flietext"/>
        <w:rPr>
          <w:lang w:eastAsia="de-DE"/>
        </w:rPr>
      </w:pPr>
      <w:r w:rsidRPr="00302B23">
        <w:rPr>
          <w:noProof/>
          <w:lang w:eastAsia="de-AT"/>
        </w:rPr>
        <w:drawing>
          <wp:inline distT="0" distB="0" distL="0" distR="0" wp14:anchorId="627FDD3F" wp14:editId="5E57B524">
            <wp:extent cx="2763520" cy="2075180"/>
            <wp:effectExtent l="0" t="0" r="0" b="1270"/>
            <wp:docPr id="18" name="Grafik 18" descr="D:\Fotos\2017\2017_04_April\2017_04_14\IMG_7858.JPG" title="Falcon T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D:\Fotos\2017\2017_04_April\2017_04_14\IMG_7858.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63520" cy="2075180"/>
                    </a:xfrm>
                    <a:prstGeom prst="rect">
                      <a:avLst/>
                    </a:prstGeom>
                    <a:noFill/>
                    <a:ln>
                      <a:noFill/>
                    </a:ln>
                  </pic:spPr>
                </pic:pic>
              </a:graphicData>
            </a:graphic>
          </wp:inline>
        </w:drawing>
      </w:r>
      <w:r w:rsidRPr="00302B23">
        <w:rPr>
          <w:noProof/>
          <w:lang w:eastAsia="de-AT"/>
        </w:rPr>
        <w:drawing>
          <wp:inline distT="0" distB="0" distL="0" distR="0" wp14:anchorId="65CD1E90" wp14:editId="091A5727">
            <wp:extent cx="2763520" cy="2075180"/>
            <wp:effectExtent l="0" t="0" r="0" b="1270"/>
            <wp:docPr id="23" name="Grafik 23" descr="D:\Fotos\2017\2017_04_April\2017_04_14\IMG_7860.JPG" title="Falcon T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D:\Fotos\2017\2017_04_April\2017_04_14\IMG_786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63520" cy="2075180"/>
                    </a:xfrm>
                    <a:prstGeom prst="rect">
                      <a:avLst/>
                    </a:prstGeom>
                    <a:noFill/>
                    <a:ln>
                      <a:noFill/>
                    </a:ln>
                  </pic:spPr>
                </pic:pic>
              </a:graphicData>
            </a:graphic>
          </wp:inline>
        </w:drawing>
      </w:r>
    </w:p>
    <w:p w:rsidR="00402D84" w:rsidRDefault="00402D84" w:rsidP="00680B58">
      <w:pPr>
        <w:pStyle w:val="Beschriftung"/>
        <w:ind w:left="0"/>
        <w:rPr>
          <w:color w:val="auto"/>
        </w:rPr>
      </w:pPr>
      <w:bookmarkStart w:id="101" w:name="_Ref533058283"/>
      <w:bookmarkStart w:id="102" w:name="_Toc533059382"/>
      <w:bookmarkStart w:id="103" w:name="_Toc7715407"/>
      <w:r>
        <w:t xml:space="preserve">Abbildung </w:t>
      </w:r>
      <w:r>
        <w:rPr>
          <w:noProof/>
        </w:rPr>
        <w:fldChar w:fldCharType="begin"/>
      </w:r>
      <w:r>
        <w:rPr>
          <w:noProof/>
        </w:rPr>
        <w:instrText xml:space="preserve"> SEQ Abbildung \* ARABIC </w:instrText>
      </w:r>
      <w:r>
        <w:rPr>
          <w:noProof/>
        </w:rPr>
        <w:fldChar w:fldCharType="separate"/>
      </w:r>
      <w:r w:rsidR="00680B58">
        <w:rPr>
          <w:noProof/>
        </w:rPr>
        <w:t>17</w:t>
      </w:r>
      <w:r>
        <w:rPr>
          <w:noProof/>
        </w:rPr>
        <w:fldChar w:fldCharType="end"/>
      </w:r>
      <w:bookmarkEnd w:id="101"/>
      <w:r>
        <w:t xml:space="preserve">: </w:t>
      </w:r>
      <w:r w:rsidRPr="003D69F7">
        <w:rPr>
          <w:color w:val="auto"/>
          <w:lang w:eastAsia="de-DE"/>
        </w:rPr>
        <w:t xml:space="preserve">Präparierte Falcon Tubes nach </w:t>
      </w:r>
      <w:r w:rsidRPr="003D69F7">
        <w:rPr>
          <w:color w:val="auto"/>
        </w:rPr>
        <w:t>Preisser (links)</w:t>
      </w:r>
      <w:bookmarkStart w:id="104" w:name="_Ref533058294"/>
      <w:bookmarkStart w:id="105" w:name="_Toc533059383"/>
      <w:bookmarkEnd w:id="102"/>
      <w:r w:rsidR="00680B58">
        <w:rPr>
          <w:color w:val="auto"/>
        </w:rPr>
        <w:t xml:space="preserve">   </w:t>
      </w:r>
      <w:r w:rsidRPr="003D69F7">
        <w:rPr>
          <w:color w:val="auto"/>
        </w:rPr>
        <w:t xml:space="preserve">Abbildung </w:t>
      </w:r>
      <w:r w:rsidRPr="003D69F7">
        <w:rPr>
          <w:noProof/>
          <w:color w:val="auto"/>
        </w:rPr>
        <w:fldChar w:fldCharType="begin"/>
      </w:r>
      <w:r w:rsidRPr="003D69F7">
        <w:rPr>
          <w:noProof/>
          <w:color w:val="auto"/>
        </w:rPr>
        <w:instrText xml:space="preserve"> SEQ Abbildung \* ARABIC </w:instrText>
      </w:r>
      <w:r w:rsidRPr="003D69F7">
        <w:rPr>
          <w:noProof/>
          <w:color w:val="auto"/>
        </w:rPr>
        <w:fldChar w:fldCharType="separate"/>
      </w:r>
      <w:r w:rsidR="00680B58">
        <w:rPr>
          <w:noProof/>
          <w:color w:val="auto"/>
        </w:rPr>
        <w:t>18</w:t>
      </w:r>
      <w:r w:rsidRPr="003D69F7">
        <w:rPr>
          <w:noProof/>
          <w:color w:val="auto"/>
        </w:rPr>
        <w:fldChar w:fldCharType="end"/>
      </w:r>
      <w:bookmarkEnd w:id="104"/>
      <w:r w:rsidRPr="003D69F7">
        <w:rPr>
          <w:color w:val="auto"/>
        </w:rPr>
        <w:t>: Falcon Tubes in Erdproben eingesetzt (rechts)</w:t>
      </w:r>
      <w:bookmarkEnd w:id="105"/>
      <w:bookmarkEnd w:id="103"/>
    </w:p>
    <w:p w:rsidR="00680B58" w:rsidRPr="00680B58" w:rsidRDefault="00680B58" w:rsidP="00680B58">
      <w:pPr>
        <w:pStyle w:val="Flietext"/>
      </w:pPr>
    </w:p>
    <w:p w:rsidR="00402D84" w:rsidRDefault="00402D84" w:rsidP="00680B58">
      <w:pPr>
        <w:pStyle w:val="Flietext"/>
        <w:jc w:val="both"/>
        <w:rPr>
          <w:lang w:eastAsia="de-DE"/>
        </w:rPr>
      </w:pPr>
      <w:r>
        <w:rPr>
          <w:lang w:eastAsia="de-DE"/>
        </w:rPr>
        <w:t xml:space="preserve">2017 wurden elf mit Dianem®-behandelte Felder bzw. Feldstreifen eine Woche </w:t>
      </w:r>
      <w:r w:rsidRPr="00302B23">
        <w:rPr>
          <w:lang w:eastAsia="de-DE"/>
        </w:rPr>
        <w:t>nach</w:t>
      </w:r>
      <w:r>
        <w:rPr>
          <w:lang w:eastAsia="de-DE"/>
        </w:rPr>
        <w:t xml:space="preserve"> </w:t>
      </w:r>
      <w:r w:rsidRPr="00302B23">
        <w:rPr>
          <w:lang w:eastAsia="de-DE"/>
        </w:rPr>
        <w:t xml:space="preserve">Ausbringung </w:t>
      </w:r>
      <w:r>
        <w:rPr>
          <w:lang w:eastAsia="de-DE"/>
        </w:rPr>
        <w:t xml:space="preserve">(10.4.2017) der Nematoden bei der Aussaat beprobt. Einen Monat nach der Ausbringung wurden </w:t>
      </w:r>
      <w:r w:rsidRPr="00302B23">
        <w:rPr>
          <w:lang w:eastAsia="de-DE"/>
        </w:rPr>
        <w:t>Erdproben</w:t>
      </w:r>
      <w:r>
        <w:rPr>
          <w:lang w:eastAsia="de-DE"/>
        </w:rPr>
        <w:t xml:space="preserve"> aus dieselben elf Dianem®-behandelten Feldern bzw. Feldstreifen sowie von </w:t>
      </w:r>
      <w:r w:rsidRPr="00302B23">
        <w:rPr>
          <w:lang w:eastAsia="de-DE"/>
        </w:rPr>
        <w:t xml:space="preserve">angrenzenden Feldern ohne Maisanbau </w:t>
      </w:r>
      <w:r>
        <w:rPr>
          <w:lang w:eastAsia="de-DE"/>
        </w:rPr>
        <w:t xml:space="preserve">sowie </w:t>
      </w:r>
      <w:r w:rsidRPr="00302B23">
        <w:rPr>
          <w:lang w:eastAsia="de-DE"/>
        </w:rPr>
        <w:t xml:space="preserve">naturnahen </w:t>
      </w:r>
      <w:r>
        <w:rPr>
          <w:lang w:eastAsia="de-DE"/>
        </w:rPr>
        <w:t xml:space="preserve">Flächen </w:t>
      </w:r>
      <w:r w:rsidRPr="00302B23">
        <w:rPr>
          <w:lang w:eastAsia="de-DE"/>
        </w:rPr>
        <w:t xml:space="preserve">gezogen, um Referenzwerte bzw. Daten über </w:t>
      </w:r>
      <w:r>
        <w:rPr>
          <w:lang w:eastAsia="de-DE"/>
        </w:rPr>
        <w:t xml:space="preserve">das </w:t>
      </w:r>
      <w:r w:rsidRPr="00302B23">
        <w:rPr>
          <w:lang w:eastAsia="de-DE"/>
        </w:rPr>
        <w:t>natürliche</w:t>
      </w:r>
      <w:r>
        <w:rPr>
          <w:lang w:eastAsia="de-DE"/>
        </w:rPr>
        <w:t xml:space="preserve"> Vorkommen </w:t>
      </w:r>
      <w:r w:rsidRPr="00302B23">
        <w:rPr>
          <w:lang w:eastAsia="de-DE"/>
        </w:rPr>
        <w:t xml:space="preserve">oder aus </w:t>
      </w:r>
      <w:r>
        <w:rPr>
          <w:lang w:eastAsia="de-DE"/>
        </w:rPr>
        <w:t xml:space="preserve">Vorjahren </w:t>
      </w:r>
      <w:r w:rsidRPr="00302B23">
        <w:rPr>
          <w:lang w:eastAsia="de-DE"/>
        </w:rPr>
        <w:t>überdauer</w:t>
      </w:r>
      <w:r>
        <w:rPr>
          <w:lang w:eastAsia="de-DE"/>
        </w:rPr>
        <w:t xml:space="preserve">nder insektenpathogener </w:t>
      </w:r>
      <w:r w:rsidRPr="00302B23">
        <w:rPr>
          <w:lang w:eastAsia="de-DE"/>
        </w:rPr>
        <w:t>Nematoden zu erhalten.</w:t>
      </w:r>
    </w:p>
    <w:p w:rsidR="00402D84" w:rsidRPr="00302B23" w:rsidRDefault="00402D84" w:rsidP="00680B58">
      <w:pPr>
        <w:pStyle w:val="Flietext"/>
        <w:jc w:val="both"/>
        <w:rPr>
          <w:lang w:eastAsia="de-DE"/>
        </w:rPr>
      </w:pPr>
      <w:r>
        <w:t xml:space="preserve">Für die Labortests nach Pilz und </w:t>
      </w:r>
      <w:r w:rsidRPr="00302B23">
        <w:rPr>
          <w:lang w:eastAsia="de-DE"/>
        </w:rPr>
        <w:t>Vandenbossche</w:t>
      </w:r>
      <w:r>
        <w:t xml:space="preserve"> wurden pro Feld bzw. Feldstreifen </w:t>
      </w:r>
      <w:r w:rsidRPr="00302B23">
        <w:rPr>
          <w:lang w:eastAsia="de-DE"/>
        </w:rPr>
        <w:t>6 Erd-Mischproben (á 5 x 100 ml)</w:t>
      </w:r>
      <w:r w:rsidR="00B46990">
        <w:rPr>
          <w:lang w:eastAsia="de-DE"/>
        </w:rPr>
        <w:t xml:space="preserve"> gezogen. </w:t>
      </w:r>
      <w:r>
        <w:rPr>
          <w:lang w:eastAsia="de-DE"/>
        </w:rPr>
        <w:t>Davon wurden im</w:t>
      </w:r>
      <w:r w:rsidRPr="00302B23">
        <w:rPr>
          <w:lang w:eastAsia="de-DE"/>
        </w:rPr>
        <w:t xml:space="preserve"> Labor </w:t>
      </w:r>
      <w:r w:rsidR="00B46990">
        <w:rPr>
          <w:lang w:eastAsia="de-DE"/>
        </w:rPr>
        <w:t xml:space="preserve">für den Test </w:t>
      </w:r>
      <w:r>
        <w:rPr>
          <w:lang w:eastAsia="de-DE"/>
        </w:rPr>
        <w:t xml:space="preserve">nach Pilz </w:t>
      </w:r>
      <w:r w:rsidRPr="00302B23">
        <w:rPr>
          <w:lang w:eastAsia="de-DE"/>
        </w:rPr>
        <w:t>pro Mischprobe 100 ml Erde entnommen und in 250 ml fassend</w:t>
      </w:r>
      <w:r>
        <w:rPr>
          <w:lang w:eastAsia="de-DE"/>
        </w:rPr>
        <w:t>e Plastikdosen gefüllt. Für den Test mit Falcon-Tubes wurden im April pro Feld/Variante zwei der oben beschriebenen Töpfe mit jeweils drei Tubes angelegt. Sämtliche Tests wurden mit jeweils 6 Wiederholungen durchgeführt.</w:t>
      </w:r>
    </w:p>
    <w:p w:rsidR="00402D84" w:rsidRDefault="00402D84" w:rsidP="00680B58">
      <w:pPr>
        <w:pStyle w:val="Flietext"/>
        <w:jc w:val="both"/>
      </w:pPr>
      <w:r>
        <w:rPr>
          <w:lang w:eastAsia="de-DE"/>
        </w:rPr>
        <w:t>Für die Untersuchung der Wurzelballen wurde i</w:t>
      </w:r>
      <w:r w:rsidRPr="00302B23">
        <w:rPr>
          <w:lang w:eastAsia="de-DE"/>
        </w:rPr>
        <w:t xml:space="preserve">n oben genannten Feldern </w:t>
      </w:r>
      <w:r>
        <w:rPr>
          <w:lang w:eastAsia="de-DE"/>
        </w:rPr>
        <w:t xml:space="preserve">und Feldstreifen je 6 Wurzelballen entnommen. </w:t>
      </w:r>
    </w:p>
    <w:p w:rsidR="00402D84" w:rsidRDefault="00402D84" w:rsidP="00BE36E2">
      <w:pPr>
        <w:pStyle w:val="11Unterkapitel"/>
      </w:pPr>
      <w:bookmarkStart w:id="106" w:name="_Toc533059336"/>
      <w:bookmarkStart w:id="107" w:name="_Toc7715577"/>
      <w:r>
        <w:t>Vergleich unterschiedlicher Auswertungsmethoden des Käferschlupfes bzw. des Schadbildes im Feld</w:t>
      </w:r>
      <w:bookmarkEnd w:id="106"/>
      <w:bookmarkEnd w:id="107"/>
    </w:p>
    <w:p w:rsidR="00402D84" w:rsidRPr="001D3CB3" w:rsidRDefault="00402D84" w:rsidP="00680B58">
      <w:pPr>
        <w:pStyle w:val="Flietext"/>
        <w:jc w:val="both"/>
      </w:pPr>
      <w:r>
        <w:t xml:space="preserve">Um eine zugleich aussagekräftige als auch einfach durchzuführende Methode zur Erhebung des Befallsgrades einer Maiskultur </w:t>
      </w:r>
      <w:r w:rsidRPr="001D3CB3">
        <w:t xml:space="preserve">durch den Maiswurzelbohrer </w:t>
      </w:r>
      <w:r w:rsidRPr="001D3CB3">
        <w:rPr>
          <w:i/>
        </w:rPr>
        <w:t>D. virgifera</w:t>
      </w:r>
      <w:r w:rsidRPr="001D3CB3">
        <w:t xml:space="preserve"> und dessen Auswirkung auf den Ernteertrag zu ermitteln, wurden folgende Methoden wurden verglichen: </w:t>
      </w:r>
    </w:p>
    <w:p w:rsidR="00402D84" w:rsidRPr="001D3CB3" w:rsidRDefault="00402D84" w:rsidP="00680B58">
      <w:pPr>
        <w:pStyle w:val="Aufzhlung"/>
        <w:numPr>
          <w:ilvl w:val="0"/>
          <w:numId w:val="1"/>
        </w:numPr>
        <w:jc w:val="both"/>
      </w:pPr>
      <w:r w:rsidRPr="001D3CB3">
        <w:rPr>
          <w:b/>
        </w:rPr>
        <w:t>Kübel-Photoeklektoren</w:t>
      </w:r>
      <w:r w:rsidRPr="001D3CB3">
        <w:t xml:space="preserve"> (</w:t>
      </w:r>
      <w:r w:rsidRPr="001D3CB3">
        <w:rPr>
          <w:color w:val="FF0000"/>
        </w:rPr>
        <w:fldChar w:fldCharType="begin"/>
      </w:r>
      <w:r w:rsidRPr="001D3CB3">
        <w:instrText xml:space="preserve"> REF _Ref533058327 \h </w:instrText>
      </w:r>
      <w:r w:rsidR="00680B58" w:rsidRPr="001D3CB3">
        <w:rPr>
          <w:color w:val="FF0000"/>
        </w:rPr>
        <w:instrText xml:space="preserve"> \* MERGEFORMAT </w:instrText>
      </w:r>
      <w:r w:rsidRPr="001D3CB3">
        <w:rPr>
          <w:color w:val="FF0000"/>
        </w:rPr>
      </w:r>
      <w:r w:rsidRPr="001D3CB3">
        <w:rPr>
          <w:color w:val="FF0000"/>
        </w:rPr>
        <w:fldChar w:fldCharType="separate"/>
      </w:r>
      <w:r w:rsidR="00680B58" w:rsidRPr="001D3CB3">
        <w:t xml:space="preserve">Abbildung </w:t>
      </w:r>
      <w:r w:rsidR="00680B58" w:rsidRPr="001D3CB3">
        <w:rPr>
          <w:noProof/>
        </w:rPr>
        <w:t>19</w:t>
      </w:r>
      <w:r w:rsidRPr="001D3CB3">
        <w:rPr>
          <w:color w:val="FF0000"/>
        </w:rPr>
        <w:fldChar w:fldCharType="end"/>
      </w:r>
      <w:r w:rsidRPr="001D3CB3">
        <w:rPr>
          <w:color w:val="auto"/>
        </w:rPr>
        <w:t xml:space="preserve">, links), die </w:t>
      </w:r>
      <w:r w:rsidRPr="001D3CB3">
        <w:t>jeweils den Wurzelraum einer Maispflanze abdeckten (0,08 m²), bestehend aus jeweils einem 12-Liter Mörtelkübel, in dessen Boden mit einer Lochsäge ein Loch mit 10 cm Durchmesser geschnitten wurde. In dieses wurde ein abgeschnittener Oberteil einer 1,5-Lter PET-Flasche mit einer Heißklebepistole befestigt. Für die Auffangdose wurde mit einer Lochsäge ein Loch mit 2 cm Durchmesser in den Boden einer 365 ml Dose (Ø 9,5 cm, h: 8,5 cm) geschnitten. In den Deckel der PET-Flaschen wurde mit einem Locheisen ein Loch von 2,5 cm Durchmesser gestanzt. Der präparierte Deckel wurde so in die Dose eingeklebt, dass die Dose auf das Gewinde der Flasche am Kübel aufgeschraubt werden konnte. Zur Ventilation wurde die Dose an den Seitenwänden mit einem Stichel perforiert. Bei der Installation der Versuchseinheiten im Feld wurden etwaig zu nahe stehende Nachbarpflanze(n) entfernt und die gewählte Pflanz</w:t>
      </w:r>
      <w:r w:rsidR="00B46990" w:rsidRPr="001D3CB3">
        <w:t xml:space="preserve">e auf ca. 20 cm abgeschnitten. </w:t>
      </w:r>
      <w:r w:rsidRPr="001D3CB3">
        <w:t>Um die Pflanze wurde die Erde leicht abgegraben  und nach aufsetze</w:t>
      </w:r>
      <w:r w:rsidR="00B46990" w:rsidRPr="001D3CB3">
        <w:t>n des Kübel</w:t>
      </w:r>
      <w:r w:rsidRPr="001D3CB3">
        <w:t>s die Erde um den Kübel leicht angehäufelt. Zur Käferzählung wurden die Auffangdosen geöffnet und die darin befindlichen Käfer gezählt und entfernt. Die leere Dose wurde wieder verschlossen.</w:t>
      </w:r>
    </w:p>
    <w:p w:rsidR="00402D84" w:rsidRDefault="00402D84" w:rsidP="00680B58">
      <w:pPr>
        <w:pStyle w:val="Aufzhlung"/>
        <w:numPr>
          <w:ilvl w:val="0"/>
          <w:numId w:val="1"/>
        </w:numPr>
        <w:jc w:val="both"/>
      </w:pPr>
      <w:r w:rsidRPr="001D3CB3">
        <w:rPr>
          <w:b/>
        </w:rPr>
        <w:t>Folienzelt-Photoeklektoren</w:t>
      </w:r>
      <w:r w:rsidRPr="001D3CB3">
        <w:t xml:space="preserve"> nach Rauch et al. (2016) (</w:t>
      </w:r>
      <w:r w:rsidRPr="001D3CB3">
        <w:rPr>
          <w:color w:val="auto"/>
        </w:rPr>
        <w:fldChar w:fldCharType="begin"/>
      </w:r>
      <w:r w:rsidRPr="001D3CB3">
        <w:rPr>
          <w:color w:val="auto"/>
        </w:rPr>
        <w:instrText xml:space="preserve"> REF _Ref533058327 \h </w:instrText>
      </w:r>
      <w:r w:rsidR="00680B58" w:rsidRPr="001D3CB3">
        <w:rPr>
          <w:color w:val="auto"/>
        </w:rPr>
        <w:instrText xml:space="preserve"> \* MERGEFORMAT </w:instrText>
      </w:r>
      <w:r w:rsidRPr="001D3CB3">
        <w:rPr>
          <w:color w:val="auto"/>
        </w:rPr>
      </w:r>
      <w:r w:rsidRPr="001D3CB3">
        <w:rPr>
          <w:color w:val="auto"/>
        </w:rPr>
        <w:fldChar w:fldCharType="separate"/>
      </w:r>
      <w:r w:rsidR="00680B58" w:rsidRPr="001D3CB3">
        <w:t xml:space="preserve">Abbildung </w:t>
      </w:r>
      <w:r w:rsidR="00680B58" w:rsidRPr="001D3CB3">
        <w:rPr>
          <w:noProof/>
        </w:rPr>
        <w:t>19</w:t>
      </w:r>
      <w:r w:rsidRPr="001D3CB3">
        <w:rPr>
          <w:color w:val="auto"/>
        </w:rPr>
        <w:fldChar w:fldCharType="end"/>
      </w:r>
      <w:r w:rsidRPr="001D3CB3">
        <w:rPr>
          <w:color w:val="auto"/>
        </w:rPr>
        <w:t>, rechts), die</w:t>
      </w:r>
      <w:r w:rsidRPr="003D69F7">
        <w:rPr>
          <w:noProof/>
          <w:color w:val="auto"/>
          <w:lang w:eastAsia="de-AT"/>
        </w:rPr>
        <w:t xml:space="preserve"> den </w:t>
      </w:r>
      <w:r>
        <w:rPr>
          <w:noProof/>
          <w:lang w:eastAsia="de-AT"/>
        </w:rPr>
        <w:t>Wurzelraum von je ca. 2,5 Pflanzen umfassen (0,3 m²)</w:t>
      </w:r>
      <w:r>
        <w:t>, bestehend aus jeweils zwei übereinander gelegten Folienschichten (PE-Folie schwarz, Glashausfolie weiß) 1,5 x 1 m. Die weiße Folie sollte den Photoeklektor vor Überhitzung schützen. In die Mitte beider Folien wurde mit einem Locheisen ein Loch von 1,5 cm Durchmesser gestanzt. Für die Installation am Feld wurde durch dieses Loch der Hals einer 1,5-Liter PET-Flasche gesteckt, sodass die Auffangdose (Beschreibung siehe Kübel-Photoeklektor) auf das herausstehende Gewinde aufgeschraubt werden konnte. Gestützt wurde das Zelt entweder durch eine 50 cm lange Stange Armierungseisen, die im abgeschnittenen Oberteil der PET-Flaschen verkeilt wurde bzw. durch eine ganzen PET-Flaschen mit herausgeschnittenen Fenstern und Schlitzen, um den Käfern den Zugang zur Dose zu ermöglichen. Pflanzenpräparation, Installation des Zeltes und Auswertung erfolgte wie bei dem Kü</w:t>
      </w:r>
      <w:r w:rsidR="00B46990">
        <w:t>bel-Photoeklektor beschrieben.</w:t>
      </w:r>
    </w:p>
    <w:p w:rsidR="00402D84" w:rsidRDefault="00402D84" w:rsidP="00402D84">
      <w:pPr>
        <w:pStyle w:val="Aufzhlung"/>
        <w:numPr>
          <w:ilvl w:val="0"/>
          <w:numId w:val="0"/>
        </w:numPr>
        <w:ind w:left="851"/>
      </w:pPr>
      <w:r>
        <w:rPr>
          <w:noProof/>
          <w:lang w:eastAsia="de-AT"/>
        </w:rPr>
        <w:drawing>
          <wp:inline distT="0" distB="0" distL="0" distR="0" wp14:anchorId="528E28AA" wp14:editId="32BAF61F">
            <wp:extent cx="4048125" cy="3035872"/>
            <wp:effectExtent l="0" t="0" r="0" b="0"/>
            <wp:docPr id="24" name="Bild 6" descr="IMG_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6578"/>
                    <pic:cNvPicPr>
                      <a:picLocks noChangeAspect="1" noChangeArrowheads="1"/>
                    </pic:cNvPicPr>
                  </pic:nvPicPr>
                  <pic:blipFill>
                    <a:blip r:embed="rId58" cstate="print"/>
                    <a:srcRect/>
                    <a:stretch>
                      <a:fillRect/>
                    </a:stretch>
                  </pic:blipFill>
                  <pic:spPr bwMode="auto">
                    <a:xfrm>
                      <a:off x="0" y="0"/>
                      <a:ext cx="4048125" cy="3035872"/>
                    </a:xfrm>
                    <a:prstGeom prst="rect">
                      <a:avLst/>
                    </a:prstGeom>
                    <a:noFill/>
                    <a:ln w="9525">
                      <a:noFill/>
                      <a:miter lim="800000"/>
                      <a:headEnd/>
                      <a:tailEnd/>
                    </a:ln>
                  </pic:spPr>
                </pic:pic>
              </a:graphicData>
            </a:graphic>
          </wp:inline>
        </w:drawing>
      </w:r>
    </w:p>
    <w:p w:rsidR="00402D84" w:rsidRPr="003D69F7" w:rsidRDefault="00402D84" w:rsidP="00402D84">
      <w:pPr>
        <w:pStyle w:val="Beschriftung"/>
        <w:rPr>
          <w:color w:val="auto"/>
        </w:rPr>
      </w:pPr>
      <w:bookmarkStart w:id="108" w:name="_Ref533058327"/>
      <w:bookmarkStart w:id="109" w:name="_Toc533059384"/>
      <w:bookmarkStart w:id="110" w:name="_Toc7715408"/>
      <w:r>
        <w:t xml:space="preserve">Abbildung </w:t>
      </w:r>
      <w:r>
        <w:rPr>
          <w:noProof/>
        </w:rPr>
        <w:fldChar w:fldCharType="begin"/>
      </w:r>
      <w:r>
        <w:rPr>
          <w:noProof/>
        </w:rPr>
        <w:instrText xml:space="preserve"> SEQ Abbildung \* ARABIC </w:instrText>
      </w:r>
      <w:r>
        <w:rPr>
          <w:noProof/>
        </w:rPr>
        <w:fldChar w:fldCharType="separate"/>
      </w:r>
      <w:r w:rsidR="00680B58">
        <w:rPr>
          <w:noProof/>
        </w:rPr>
        <w:t>19</w:t>
      </w:r>
      <w:r>
        <w:rPr>
          <w:noProof/>
        </w:rPr>
        <w:fldChar w:fldCharType="end"/>
      </w:r>
      <w:bookmarkEnd w:id="108"/>
      <w:r w:rsidRPr="003D69F7">
        <w:rPr>
          <w:color w:val="auto"/>
        </w:rPr>
        <w:t>: Photoekletortypen „Kübel“ (links) und „Folienzelt nach Strasser“ (rechts)</w:t>
      </w:r>
      <w:bookmarkEnd w:id="109"/>
      <w:bookmarkEnd w:id="110"/>
    </w:p>
    <w:p w:rsidR="00402D84" w:rsidRDefault="00402D84" w:rsidP="00680B58">
      <w:pPr>
        <w:pStyle w:val="Aufzhlung"/>
        <w:numPr>
          <w:ilvl w:val="0"/>
          <w:numId w:val="1"/>
        </w:numPr>
        <w:jc w:val="both"/>
      </w:pPr>
      <w:r w:rsidRPr="0050339E">
        <w:rPr>
          <w:b/>
        </w:rPr>
        <w:t>Fangtafeln</w:t>
      </w:r>
      <w:r>
        <w:t xml:space="preserve"> der ungarischen Firma Csalomon®, die für das Monitoring von </w:t>
      </w:r>
      <w:r w:rsidRPr="00515D1E">
        <w:rPr>
          <w:i/>
        </w:rPr>
        <w:t>D. virgifera</w:t>
      </w:r>
      <w:r>
        <w:t xml:space="preserve"> empfohlen werden. Es wurde sowohl die Anzahl zufälliger Fänge (durchsichtige Plastiktafel mit Fangleimbeschichtung, PAL) als auch durch Farbreize angelockte Käfer (gelb gefärbte Plastiktafel mit Fangleimbeschichtung, PALs) ohne Lockwirkung von Pheromon/Kairomon verglichen. Beide Tafelvarianten wurden 2016 auf Kolbenhöhe (ca. 140 cm über dem Boden) an den Maispflanzen befestigt. Die Anzahl gefangener Käfer wurde entweder durch Auszählen der Tafeln am Feld ermittelt oder anhand von Fotos derselben Tafeln. Die Tafeln wurden – je nach Intensität des Käferfluges – alle ein bis drei Wochen erneuert. </w:t>
      </w:r>
    </w:p>
    <w:p w:rsidR="00402D84" w:rsidRPr="00C70F62" w:rsidRDefault="00402D84" w:rsidP="00680B58">
      <w:pPr>
        <w:pStyle w:val="Aufzhlung"/>
        <w:numPr>
          <w:ilvl w:val="0"/>
          <w:numId w:val="1"/>
        </w:numPr>
        <w:jc w:val="both"/>
      </w:pPr>
      <w:r w:rsidRPr="0050339E">
        <w:rPr>
          <w:b/>
        </w:rPr>
        <w:t>Trichterfallen</w:t>
      </w:r>
      <w:r>
        <w:t xml:space="preserve"> der Firma Csalomon® (KLP), die für das Monitoring von </w:t>
      </w:r>
      <w:r w:rsidRPr="00515D1E">
        <w:rPr>
          <w:i/>
        </w:rPr>
        <w:t>D. virgifera</w:t>
      </w:r>
      <w:r>
        <w:t xml:space="preserve"> empfohlen werden. Hier wurden die Käfer durch eine unbeleimte gelbe Farbtafel angelockt, in eine Dose geleitet, und entweder auf eingelegten Leimringen gefangen bzw. mit Stücken eines insektizid wirkenden Hundehalsbandes (</w:t>
      </w:r>
      <w:r w:rsidRPr="00DF25C0">
        <w:t>Bolfo® Flohschutz Halsband für Katzen und kleine Hunde</w:t>
      </w:r>
      <w:r>
        <w:t xml:space="preserve"> von BAYER, Wirkstoff: 2-Isopropoxyphenyl, Methylcarbamat; 1,23 g) abgetötet. Beide Fallenvarianten wurden über Kolbenhöhe (ca. 180 cm über dem Boden) an den Maispflanzen befestigt. Für die Zählung der Käfer wurde die Falle geöffnet und die abgetöteten Käfer der Insektizidvariante gezählt und entfernt und jene der Leimringvariante gezählt. </w:t>
      </w:r>
    </w:p>
    <w:p w:rsidR="00402D84" w:rsidRPr="00175E61" w:rsidRDefault="00402D84" w:rsidP="00680B58">
      <w:pPr>
        <w:pStyle w:val="Flietext"/>
        <w:jc w:val="both"/>
        <w:rPr>
          <w:color w:val="000000" w:themeColor="text1"/>
        </w:rPr>
      </w:pPr>
      <w:r>
        <w:t xml:space="preserve">Alle Fallenvarianten für das Käfermontoring wurden vor bzw. zu Beginn des ersten Käferschlupf installiert. einige Fallenvarianten wurden nur in den Behandlungsvarianten </w:t>
      </w:r>
      <w:r w:rsidRPr="00175E61">
        <w:rPr>
          <w:color w:val="000000" w:themeColor="text1"/>
        </w:rPr>
        <w:t>Dianem + Rhizovital 42 und der Unb</w:t>
      </w:r>
      <w:r w:rsidR="004D7C8F">
        <w:rPr>
          <w:color w:val="000000" w:themeColor="text1"/>
        </w:rPr>
        <w:t>ehandelte Kontrolle installiert.</w:t>
      </w:r>
    </w:p>
    <w:p w:rsidR="00402D84" w:rsidRPr="00D34E01" w:rsidRDefault="00402D84" w:rsidP="00680B58">
      <w:pPr>
        <w:pStyle w:val="Aufzhlung"/>
        <w:numPr>
          <w:ilvl w:val="0"/>
          <w:numId w:val="1"/>
        </w:numPr>
        <w:jc w:val="both"/>
      </w:pPr>
      <w:r>
        <w:t xml:space="preserve"> </w:t>
      </w:r>
      <w:r w:rsidRPr="0050339E">
        <w:rPr>
          <w:b/>
        </w:rPr>
        <w:t>Käfer pro Pflanze</w:t>
      </w:r>
      <w:r>
        <w:t xml:space="preserve">, die kostengünstigste und am schnellsten ohne Hilfsmittel durchzuführende Variante. Hier wurde die Anzahl an Käfern an 10 – 20 zufällig gewählten Maispflanzen pro Behandlungsvariante erfasst. </w:t>
      </w:r>
    </w:p>
    <w:p w:rsidR="00402D84" w:rsidRDefault="00402D84" w:rsidP="00680B58">
      <w:pPr>
        <w:pStyle w:val="Aufzhlung"/>
        <w:numPr>
          <w:ilvl w:val="0"/>
          <w:numId w:val="1"/>
        </w:numPr>
        <w:jc w:val="both"/>
      </w:pPr>
      <w:r w:rsidRPr="00ED13AA">
        <w:rPr>
          <w:b/>
        </w:rPr>
        <w:t>Lagerungs-/Schwanenhalsbonitur</w:t>
      </w:r>
      <w:r w:rsidRPr="0065189E">
        <w:t xml:space="preserve"> nach Foltin et al. (2014)</w:t>
      </w:r>
      <w:r>
        <w:t>, in welcher die Neigung der Pflanze  in vier Kategorien eingeteilt wird:</w:t>
      </w:r>
    </w:p>
    <w:p w:rsidR="00402D84" w:rsidRPr="00302B23" w:rsidRDefault="00402D84" w:rsidP="00680B58">
      <w:pPr>
        <w:ind w:firstLine="708"/>
        <w:jc w:val="both"/>
        <w:rPr>
          <w:rFonts w:cs="Arial"/>
          <w:color w:val="000000"/>
          <w:lang w:eastAsia="en-GB"/>
        </w:rPr>
      </w:pPr>
      <w:r w:rsidRPr="00302B23">
        <w:rPr>
          <w:rFonts w:cs="Arial"/>
          <w:color w:val="000000"/>
          <w:lang w:eastAsia="en-GB"/>
        </w:rPr>
        <w:t>1 = komplett aufrecht</w:t>
      </w:r>
    </w:p>
    <w:p w:rsidR="00402D84" w:rsidRPr="00302B23" w:rsidRDefault="00402D84" w:rsidP="00680B58">
      <w:pPr>
        <w:ind w:firstLine="708"/>
        <w:jc w:val="both"/>
        <w:rPr>
          <w:rFonts w:cs="Arial"/>
          <w:color w:val="000000"/>
          <w:lang w:eastAsia="en-GB"/>
        </w:rPr>
      </w:pPr>
      <w:r w:rsidRPr="00302B23">
        <w:rPr>
          <w:rFonts w:cs="Arial"/>
          <w:color w:val="000000"/>
          <w:lang w:eastAsia="en-GB"/>
        </w:rPr>
        <w:t xml:space="preserve">2 = leichte Neigung bis 30 ° von vertikal mit </w:t>
      </w:r>
      <w:r>
        <w:rPr>
          <w:rFonts w:cs="Arial"/>
          <w:color w:val="000000"/>
          <w:lang w:eastAsia="en-GB"/>
        </w:rPr>
        <w:t>Schwanen</w:t>
      </w:r>
      <w:r w:rsidRPr="00302B23">
        <w:rPr>
          <w:rFonts w:cs="Arial"/>
          <w:color w:val="000000"/>
          <w:lang w:eastAsia="en-GB"/>
        </w:rPr>
        <w:t>hals</w:t>
      </w:r>
    </w:p>
    <w:p w:rsidR="00402D84" w:rsidRPr="00302B23" w:rsidRDefault="00402D84" w:rsidP="00680B58">
      <w:pPr>
        <w:ind w:firstLine="708"/>
        <w:jc w:val="both"/>
        <w:rPr>
          <w:rFonts w:cs="Arial"/>
          <w:color w:val="000000"/>
          <w:lang w:eastAsia="en-GB"/>
        </w:rPr>
      </w:pPr>
      <w:r w:rsidRPr="00302B23">
        <w:rPr>
          <w:rFonts w:cs="Arial"/>
          <w:color w:val="000000"/>
          <w:lang w:eastAsia="en-GB"/>
        </w:rPr>
        <w:t>3 =</w:t>
      </w:r>
      <w:r>
        <w:rPr>
          <w:rFonts w:cs="Arial"/>
          <w:color w:val="000000"/>
          <w:lang w:eastAsia="en-GB"/>
        </w:rPr>
        <w:t xml:space="preserve"> </w:t>
      </w:r>
      <w:r w:rsidRPr="00302B23">
        <w:rPr>
          <w:rFonts w:cs="Arial"/>
          <w:color w:val="000000"/>
          <w:lang w:eastAsia="en-GB"/>
        </w:rPr>
        <w:t xml:space="preserve">starke Neigung über 30 ° von vertikal mit </w:t>
      </w:r>
      <w:r>
        <w:rPr>
          <w:rFonts w:cs="Arial"/>
          <w:color w:val="000000"/>
          <w:lang w:eastAsia="en-GB"/>
        </w:rPr>
        <w:t>Schwanen</w:t>
      </w:r>
      <w:r w:rsidRPr="00302B23">
        <w:rPr>
          <w:rFonts w:cs="Arial"/>
          <w:color w:val="000000"/>
          <w:lang w:eastAsia="en-GB"/>
        </w:rPr>
        <w:t>hals</w:t>
      </w:r>
    </w:p>
    <w:p w:rsidR="00402D84" w:rsidRDefault="00402D84" w:rsidP="00680B58">
      <w:pPr>
        <w:autoSpaceDE w:val="0"/>
        <w:autoSpaceDN w:val="0"/>
        <w:adjustRightInd w:val="0"/>
        <w:ind w:firstLine="708"/>
        <w:jc w:val="both"/>
        <w:rPr>
          <w:rFonts w:cs="Arial"/>
          <w:lang w:eastAsia="en-GB"/>
        </w:rPr>
      </w:pPr>
      <w:r w:rsidRPr="00302B23">
        <w:rPr>
          <w:rFonts w:cs="Arial"/>
          <w:lang w:eastAsia="en-GB"/>
        </w:rPr>
        <w:t xml:space="preserve">4 = Pflanze lagert </w:t>
      </w:r>
      <w:r>
        <w:rPr>
          <w:rFonts w:cs="Arial"/>
          <w:lang w:eastAsia="en-GB"/>
        </w:rPr>
        <w:t>–</w:t>
      </w:r>
      <w:r w:rsidRPr="00302B23">
        <w:rPr>
          <w:rFonts w:cs="Arial"/>
          <w:lang w:eastAsia="en-GB"/>
        </w:rPr>
        <w:t xml:space="preserve"> </w:t>
      </w:r>
      <w:r>
        <w:rPr>
          <w:rFonts w:cs="Arial"/>
          <w:lang w:eastAsia="en-GB"/>
        </w:rPr>
        <w:t xml:space="preserve">nicht </w:t>
      </w:r>
      <w:r w:rsidRPr="00302B23">
        <w:rPr>
          <w:rFonts w:cs="Arial"/>
          <w:lang w:eastAsia="en-GB"/>
        </w:rPr>
        <w:t>beerntbar</w:t>
      </w:r>
    </w:p>
    <w:p w:rsidR="00402D84" w:rsidRDefault="00402D84" w:rsidP="00680B58">
      <w:pPr>
        <w:autoSpaceDE w:val="0"/>
        <w:autoSpaceDN w:val="0"/>
        <w:adjustRightInd w:val="0"/>
        <w:jc w:val="both"/>
        <w:rPr>
          <w:rFonts w:cs="Arial"/>
          <w:lang w:eastAsia="en-GB"/>
        </w:rPr>
      </w:pPr>
    </w:p>
    <w:p w:rsidR="00402D84" w:rsidRDefault="00402D84" w:rsidP="00680B58">
      <w:pPr>
        <w:autoSpaceDE w:val="0"/>
        <w:autoSpaceDN w:val="0"/>
        <w:adjustRightInd w:val="0"/>
        <w:ind w:firstLine="680"/>
        <w:jc w:val="both"/>
        <w:rPr>
          <w:rFonts w:cs="Arial"/>
          <w:lang w:eastAsia="en-GB"/>
        </w:rPr>
      </w:pPr>
      <w:r>
        <w:rPr>
          <w:rFonts w:cs="Arial"/>
          <w:lang w:eastAsia="en-GB"/>
        </w:rPr>
        <w:t>Pro Variante des Streifenversuches bzw. pro Feld wurden mindestens 500 Pflanzen bonitiert.</w:t>
      </w:r>
    </w:p>
    <w:p w:rsidR="00402D84" w:rsidRDefault="00402D84" w:rsidP="00680B58">
      <w:pPr>
        <w:pStyle w:val="Aufzhlung"/>
        <w:numPr>
          <w:ilvl w:val="0"/>
          <w:numId w:val="1"/>
        </w:numPr>
        <w:jc w:val="both"/>
      </w:pPr>
      <w:r w:rsidRPr="0050339E">
        <w:rPr>
          <w:b/>
        </w:rPr>
        <w:t>Schabefraß</w:t>
      </w:r>
      <w:r>
        <w:rPr>
          <w:b/>
        </w:rPr>
        <w:t xml:space="preserve"> des Blattes</w:t>
      </w:r>
      <w:r w:rsidRPr="00ED13AA">
        <w:t xml:space="preserve">, </w:t>
      </w:r>
      <w:r>
        <w:t>der durch den prozentualen Wert der durch Käferfraß geschädigten Blattfläche angegeben wird. Hier wurde an 15 zufällig gewählten Maispflanzen jeweils ein Blatt unter und ein Blatt ober Kolbenhöhe ausgewertet.</w:t>
      </w:r>
    </w:p>
    <w:p w:rsidR="00402D84" w:rsidRDefault="00402D84" w:rsidP="00402D84">
      <w:pPr>
        <w:pStyle w:val="Flietext"/>
      </w:pPr>
      <w:r>
        <w:t>Als Vergleichswerte wurden folgende Parameter bzw. Belegdaten herangezogen:</w:t>
      </w:r>
    </w:p>
    <w:p w:rsidR="00402D84" w:rsidRDefault="00402D84" w:rsidP="00680B58">
      <w:pPr>
        <w:pStyle w:val="Aufzhlung"/>
        <w:numPr>
          <w:ilvl w:val="0"/>
          <w:numId w:val="1"/>
        </w:numPr>
        <w:jc w:val="both"/>
      </w:pPr>
      <w:r>
        <w:rPr>
          <w:b/>
        </w:rPr>
        <w:t xml:space="preserve">Ernteertrag: </w:t>
      </w:r>
      <w:r w:rsidRPr="002034DC">
        <w:t>Die Erntewerte</w:t>
      </w:r>
      <w:r w:rsidRPr="00120125">
        <w:rPr>
          <w:b/>
        </w:rPr>
        <w:t xml:space="preserve"> </w:t>
      </w:r>
      <w:r w:rsidRPr="00120125">
        <w:t>wurden von Herrn Jost</w:t>
      </w:r>
      <w:r w:rsidRPr="00120125">
        <w:rPr>
          <w:b/>
        </w:rPr>
        <w:t xml:space="preserve"> </w:t>
      </w:r>
      <w:r w:rsidRPr="00120125">
        <w:t>zu Verfügung gestellt. Nach der Trocknung des Erntegutes wird dessen Gewicht in Hektarertrag Trockengewicht angegeben</w:t>
      </w:r>
      <w:r>
        <w:t xml:space="preserve"> (Streifenversuch 2016, 2017)</w:t>
      </w:r>
      <w:r w:rsidRPr="00120125">
        <w:t xml:space="preserve">. </w:t>
      </w:r>
    </w:p>
    <w:p w:rsidR="00402D84" w:rsidRDefault="00402D84" w:rsidP="00680B58">
      <w:pPr>
        <w:pStyle w:val="Aufzhlung"/>
        <w:numPr>
          <w:ilvl w:val="0"/>
          <w:numId w:val="1"/>
        </w:numPr>
        <w:jc w:val="both"/>
      </w:pPr>
      <w:r>
        <w:rPr>
          <w:b/>
        </w:rPr>
        <w:t xml:space="preserve">Belegfotos: </w:t>
      </w:r>
      <w:r w:rsidRPr="002034DC">
        <w:t>Drohnenfotos</w:t>
      </w:r>
      <w:r>
        <w:rPr>
          <w:b/>
        </w:rPr>
        <w:t xml:space="preserve"> </w:t>
      </w:r>
      <w:r w:rsidRPr="005A39ED">
        <w:t>zeigen das</w:t>
      </w:r>
      <w:r>
        <w:rPr>
          <w:b/>
        </w:rPr>
        <w:t xml:space="preserve"> </w:t>
      </w:r>
      <w:r>
        <w:t>Erscheinungsbild des Feldes aus der Vogelperspektive und sollen Korrelationen mir anderen Auswertungsmethoden aufzeigen (2016, 2017).</w:t>
      </w:r>
    </w:p>
    <w:p w:rsidR="00402D84" w:rsidRDefault="00402D84" w:rsidP="00680B58">
      <w:pPr>
        <w:pStyle w:val="Aufzhlung"/>
        <w:numPr>
          <w:ilvl w:val="0"/>
          <w:numId w:val="1"/>
        </w:numPr>
        <w:jc w:val="both"/>
      </w:pPr>
      <w:r>
        <w:rPr>
          <w:b/>
        </w:rPr>
        <w:t>Bodentemperatur:</w:t>
      </w:r>
      <w:r>
        <w:t xml:space="preserve"> Datalogger in 15 cm Bodentiefe (Wurzelregion) sollten etwaige Unterschiede  der Bodentemperatur belegen (Feldversuche 2017). Die Messung erfolgte beginnend mit der Aussaat bis Mitte August. Ab Mitte August sind die Larvalentwicklung des Käfers und folgliche Schäden an der Wurzel vernachlässigbar.</w:t>
      </w:r>
    </w:p>
    <w:p w:rsidR="00402D84" w:rsidRDefault="00402D84" w:rsidP="00402D84">
      <w:pPr>
        <w:pStyle w:val="Flietext"/>
      </w:pPr>
    </w:p>
    <w:p w:rsidR="00402D84" w:rsidRDefault="00402D84" w:rsidP="00402D84">
      <w:pPr>
        <w:pStyle w:val="11Unterkapitel"/>
        <w:ind w:left="720"/>
      </w:pPr>
      <w:bookmarkStart w:id="111" w:name="_Toc533059337"/>
      <w:bookmarkStart w:id="112" w:name="_Toc7715578"/>
      <w:r>
        <w:t>Feldversuch 2016</w:t>
      </w:r>
      <w:bookmarkEnd w:id="111"/>
      <w:bookmarkEnd w:id="112"/>
    </w:p>
    <w:p w:rsidR="00402D84" w:rsidRPr="00B412F3" w:rsidRDefault="00402D84" w:rsidP="00BE36E2">
      <w:pPr>
        <w:pStyle w:val="Flietext"/>
        <w:jc w:val="both"/>
      </w:pPr>
      <w:r w:rsidRPr="00B412F3">
        <w:t>2016 wurden in dem Streifenversuchen Schwarza V sämtliche obengenannten Auswertungsmethoden verglichen: sieben unterschiedliche Methoden zur Erhebung des Käferschlupfes im Feld sowie die Bonitur auf Schwanenhals und Schabefraß. So sollten die zugleich einfachsten und aussagekräftigste(n) Methode(n) für die Feldversuche in den folgenden Versuchsjahren ermittelt werden. Es wurden jeweils 6-8 Wiederholungen pro Variante und Methode durchgeführt. Die Kontrolle der Fallen und Maispflanzen erfolgte wöchentlich von Ende Juni bis Mitte August sowie kurz vor der Ernte, Anfang September. Die Drohnenfotos wurden kurz vor der Ernte Mitte September angefertigt.</w:t>
      </w:r>
    </w:p>
    <w:p w:rsidR="00402D84" w:rsidRDefault="00402D84" w:rsidP="00402D84">
      <w:pPr>
        <w:pStyle w:val="11Unterkapitel"/>
        <w:ind w:left="720"/>
      </w:pPr>
      <w:bookmarkStart w:id="113" w:name="_Toc533059338"/>
      <w:bookmarkStart w:id="114" w:name="_Toc7715579"/>
      <w:r>
        <w:t>Feldversuch 2017</w:t>
      </w:r>
      <w:bookmarkEnd w:id="113"/>
      <w:bookmarkEnd w:id="114"/>
      <w:r>
        <w:t xml:space="preserve"> </w:t>
      </w:r>
    </w:p>
    <w:p w:rsidR="00402D84" w:rsidRPr="009A564B" w:rsidRDefault="00402D84" w:rsidP="00BE36E2">
      <w:pPr>
        <w:pStyle w:val="Flietext"/>
        <w:jc w:val="both"/>
      </w:pPr>
      <w:r w:rsidRPr="00B412F3">
        <w:t xml:space="preserve">2017 </w:t>
      </w:r>
      <w:r w:rsidRPr="001D3CB3">
        <w:t>wurde der Käferschlupf in sämtlichen Feld- und Streifenversuchen mit Folienzelt-Photoeklektoren nach Strasser (</w:t>
      </w:r>
      <w:r w:rsidRPr="001D3CB3">
        <w:fldChar w:fldCharType="begin"/>
      </w:r>
      <w:r w:rsidRPr="001D3CB3">
        <w:instrText xml:space="preserve"> REF _Ref533058327 \h </w:instrText>
      </w:r>
      <w:r w:rsidR="00BE36E2" w:rsidRPr="001D3CB3">
        <w:instrText xml:space="preserve"> \* MERGEFORMAT </w:instrText>
      </w:r>
      <w:r w:rsidRPr="001D3CB3">
        <w:fldChar w:fldCharType="separate"/>
      </w:r>
      <w:r w:rsidR="00BE36E2" w:rsidRPr="001D3CB3">
        <w:t xml:space="preserve">Abbildung </w:t>
      </w:r>
      <w:r w:rsidR="00BE36E2" w:rsidRPr="001D3CB3">
        <w:rPr>
          <w:noProof/>
        </w:rPr>
        <w:t>19</w:t>
      </w:r>
      <w:r w:rsidRPr="001D3CB3">
        <w:fldChar w:fldCharType="end"/>
      </w:r>
      <w:r w:rsidRPr="001D3CB3">
        <w:t>, rechts), die</w:t>
      </w:r>
      <w:r w:rsidRPr="00B412F3">
        <w:t xml:space="preserve"> den Wurzelraum von je ca. 2 Pflanzen umfassen (0,3 m²) ermittelt. Zusätzlich wurden transparente PAL-Fallen ca. einen Meter über dem Boden an den Pflanzen befestigt. In den Varianten der Streifenversuche wurden 8-, in den Feldversuchen jewei</w:t>
      </w:r>
      <w:r>
        <w:t xml:space="preserve">ls 10 Wiederholungen angelegt. </w:t>
      </w:r>
    </w:p>
    <w:p w:rsidR="00402D84" w:rsidRDefault="00402D84" w:rsidP="00BE36E2">
      <w:pPr>
        <w:pStyle w:val="11Unterkapitel"/>
      </w:pPr>
      <w:bookmarkStart w:id="115" w:name="_Toc533059339"/>
      <w:bookmarkStart w:id="116" w:name="_Toc7715580"/>
      <w:r>
        <w:t>Datenerhebung mittels Fragebogen</w:t>
      </w:r>
      <w:bookmarkEnd w:id="115"/>
      <w:bookmarkEnd w:id="116"/>
    </w:p>
    <w:p w:rsidR="00402D84" w:rsidRPr="00B412F3" w:rsidRDefault="00402D84" w:rsidP="00BE36E2">
      <w:pPr>
        <w:pStyle w:val="Flietext"/>
        <w:jc w:val="both"/>
      </w:pPr>
      <w:r w:rsidRPr="00B412F3">
        <w:t xml:space="preserve">Maisbauern in der </w:t>
      </w:r>
      <w:r>
        <w:t>Südost-</w:t>
      </w:r>
      <w:r w:rsidRPr="00B412F3">
        <w:t xml:space="preserve">Steiermark, die entompathogene Nematoden zur Bekämpfung von </w:t>
      </w:r>
      <w:r w:rsidRPr="00B839FF">
        <w:rPr>
          <w:i/>
        </w:rPr>
        <w:t>D. virgifera</w:t>
      </w:r>
      <w:r w:rsidRPr="00B412F3">
        <w:t xml:space="preserve"> einsetzen, wurden Mithilfe eines Fragebogens zur Befallssituation ihrer Maisäcker </w:t>
      </w:r>
      <w:r>
        <w:t>durch den</w:t>
      </w:r>
      <w:r w:rsidRPr="00B412F3">
        <w:t xml:space="preserve"> Maiswurzelbohrer und angewandten Bekämpfungsmaßnahmen befragt. Von Interesse waren der Maiswurzelbohrerdruck</w:t>
      </w:r>
      <w:r>
        <w:t xml:space="preserve"> (Befall des Vorjahres)</w:t>
      </w:r>
      <w:r w:rsidRPr="00B412F3">
        <w:t>, Befallsgrad</w:t>
      </w:r>
      <w:r>
        <w:t xml:space="preserve"> der diesjährigen Kultur</w:t>
      </w:r>
      <w:r w:rsidRPr="00B412F3">
        <w:t>, der Prozentsatz liegender Pflanzen</w:t>
      </w:r>
      <w:r>
        <w:t xml:space="preserve"> (Lagerung)</w:t>
      </w:r>
      <w:r w:rsidRPr="00B412F3">
        <w:t>, Maissorte, Anbautermin, Pflanzenschutzmaßnahmen, Vorfrüchte, Bekämpfungsmaßnahmen in den Vorjahren, umliegende Kulturen, Bodenart und Düngung.</w:t>
      </w:r>
    </w:p>
    <w:p w:rsidR="00402D84" w:rsidRPr="00B412F3" w:rsidRDefault="00402D84" w:rsidP="00BE36E2">
      <w:pPr>
        <w:pStyle w:val="Flietext"/>
        <w:jc w:val="both"/>
      </w:pPr>
      <w:r w:rsidRPr="00B412F3">
        <w:t>Da die meisten Parameter deskriptiv beantwortet werden konnte</w:t>
      </w:r>
      <w:r>
        <w:t>n</w:t>
      </w:r>
      <w:r w:rsidRPr="00B412F3">
        <w:t>, wurden die jeweiligen Parameter weitestgehend in 3 bis 4 Stufen gewichtet.</w:t>
      </w:r>
    </w:p>
    <w:p w:rsidR="00402D84" w:rsidRDefault="00402D84" w:rsidP="00E0439C">
      <w:pPr>
        <w:pStyle w:val="11Unterkapitel"/>
      </w:pPr>
      <w:bookmarkStart w:id="117" w:name="_Toc533059340"/>
      <w:bookmarkStart w:id="118" w:name="_Toc7715581"/>
      <w:r>
        <w:t>Statistischen Analyse</w:t>
      </w:r>
      <w:bookmarkEnd w:id="117"/>
      <w:bookmarkEnd w:id="118"/>
    </w:p>
    <w:p w:rsidR="00402D84" w:rsidRPr="00BE36E2" w:rsidRDefault="00402D84" w:rsidP="00BE36E2">
      <w:pPr>
        <w:autoSpaceDE w:val="0"/>
        <w:autoSpaceDN w:val="0"/>
        <w:adjustRightInd w:val="0"/>
        <w:jc w:val="both"/>
        <w:rPr>
          <w:color w:val="000000"/>
        </w:rPr>
      </w:pPr>
      <w:r>
        <w:t xml:space="preserve">Statistische Analysen wurden in dem Programm </w:t>
      </w:r>
      <w:r w:rsidRPr="00DD1DC9">
        <w:rPr>
          <w:color w:val="000000"/>
        </w:rPr>
        <w:t>SPSS 24</w:t>
      </w:r>
      <w:r>
        <w:rPr>
          <w:color w:val="000000"/>
        </w:rPr>
        <w:t xml:space="preserve"> mit der </w:t>
      </w:r>
      <w:r w:rsidRPr="00DD1DC9">
        <w:rPr>
          <w:color w:val="000000"/>
        </w:rPr>
        <w:t>Methode Multivariate</w:t>
      </w:r>
      <w:r>
        <w:rPr>
          <w:color w:val="000000"/>
        </w:rPr>
        <w:t xml:space="preserve"> </w:t>
      </w:r>
      <w:r w:rsidRPr="00DD1DC9">
        <w:rPr>
          <w:color w:val="000000"/>
        </w:rPr>
        <w:t>Varianzanalyse (MANOVA), Zwei-Faktoren Analyse</w:t>
      </w:r>
      <w:r>
        <w:rPr>
          <w:color w:val="000000"/>
        </w:rPr>
        <w:t xml:space="preserve"> durchgeführt.</w:t>
      </w:r>
    </w:p>
    <w:p w:rsidR="00402D84" w:rsidRPr="00E47404" w:rsidRDefault="00402D84" w:rsidP="00E0439C">
      <w:pPr>
        <w:pStyle w:val="1Unterkapitel"/>
      </w:pPr>
      <w:bookmarkStart w:id="119" w:name="_Toc533059341"/>
      <w:bookmarkStart w:id="120" w:name="_Toc7715582"/>
      <w:r>
        <w:t>Ergebnisse und INterpretation</w:t>
      </w:r>
      <w:bookmarkEnd w:id="119"/>
      <w:bookmarkEnd w:id="120"/>
    </w:p>
    <w:p w:rsidR="00402D84" w:rsidRPr="00E0439C" w:rsidRDefault="00402D84" w:rsidP="00E0439C">
      <w:pPr>
        <w:pStyle w:val="11Unterkapitel"/>
        <w:rPr>
          <w:color w:val="auto"/>
        </w:rPr>
      </w:pPr>
      <w:bookmarkStart w:id="121" w:name="_Toc533059342"/>
      <w:bookmarkStart w:id="122" w:name="_Toc7715583"/>
      <w:r>
        <w:t xml:space="preserve">Virulenz und Persistenz ausgebrachter insektenpathogener </w:t>
      </w:r>
      <w:r w:rsidRPr="00E0439C">
        <w:rPr>
          <w:color w:val="auto"/>
        </w:rPr>
        <w:t>Nematoden im Boden</w:t>
      </w:r>
      <w:bookmarkEnd w:id="121"/>
      <w:bookmarkEnd w:id="122"/>
    </w:p>
    <w:p w:rsidR="00402D84" w:rsidRPr="00E0439C" w:rsidRDefault="00402D84" w:rsidP="00BE36E2">
      <w:pPr>
        <w:pStyle w:val="12Unterkapitel"/>
      </w:pPr>
      <w:bookmarkStart w:id="123" w:name="_Toc533059343"/>
      <w:bookmarkStart w:id="124" w:name="_Toc7715584"/>
      <w:r w:rsidRPr="00E0439C">
        <w:t>Feldversuch 2017</w:t>
      </w:r>
      <w:bookmarkEnd w:id="123"/>
      <w:bookmarkEnd w:id="124"/>
    </w:p>
    <w:p w:rsidR="00402D84" w:rsidRPr="001D3CB3" w:rsidRDefault="00402D84" w:rsidP="00BE36E2">
      <w:pPr>
        <w:pStyle w:val="Flietext"/>
        <w:jc w:val="both"/>
      </w:pPr>
      <w:r w:rsidRPr="001D3CB3">
        <w:rPr>
          <w:color w:val="auto"/>
        </w:rPr>
        <w:t>Positive Nachweise der ausgebrachten Nematoden mit dem Persistenztest nach Pilz et al. (2014), eine Woche bzw. ein Monat nach der Aussaat</w:t>
      </w:r>
      <w:r w:rsidRPr="001D3CB3">
        <w:t xml:space="preserve">, belegt eine sehr gute Persistenz der Nematoden in der Erde. </w:t>
      </w:r>
      <w:r w:rsidRPr="001D3CB3">
        <w:fldChar w:fldCharType="begin"/>
      </w:r>
      <w:r w:rsidRPr="001D3CB3">
        <w:instrText xml:space="preserve"> REF _Ref533058338 \h </w:instrText>
      </w:r>
      <w:r w:rsidR="00BE36E2" w:rsidRPr="001D3CB3">
        <w:instrText xml:space="preserve"> \* MERGEFORMAT </w:instrText>
      </w:r>
      <w:r w:rsidRPr="001D3CB3">
        <w:fldChar w:fldCharType="separate"/>
      </w:r>
      <w:r w:rsidR="00BE36E2" w:rsidRPr="001D3CB3">
        <w:t xml:space="preserve">Abbildung </w:t>
      </w:r>
      <w:r w:rsidR="00BE36E2" w:rsidRPr="001D3CB3">
        <w:rPr>
          <w:noProof/>
        </w:rPr>
        <w:t>20</w:t>
      </w:r>
      <w:r w:rsidRPr="001D3CB3">
        <w:fldChar w:fldCharType="end"/>
      </w:r>
      <w:r w:rsidRPr="001D3CB3">
        <w:t xml:space="preserve"> und </w:t>
      </w:r>
      <w:r w:rsidRPr="001D3CB3">
        <w:fldChar w:fldCharType="begin"/>
      </w:r>
      <w:r w:rsidRPr="001D3CB3">
        <w:instrText xml:space="preserve"> REF _Ref533058530 \h </w:instrText>
      </w:r>
      <w:r w:rsidR="00BE36E2" w:rsidRPr="001D3CB3">
        <w:instrText xml:space="preserve"> \* MERGEFORMAT </w:instrText>
      </w:r>
      <w:r w:rsidRPr="001D3CB3">
        <w:fldChar w:fldCharType="separate"/>
      </w:r>
      <w:r w:rsidR="00BE36E2" w:rsidRPr="001D3CB3">
        <w:t xml:space="preserve">Abbildung </w:t>
      </w:r>
      <w:r w:rsidR="00BE36E2" w:rsidRPr="001D3CB3">
        <w:rPr>
          <w:noProof/>
        </w:rPr>
        <w:t>21</w:t>
      </w:r>
      <w:r w:rsidRPr="001D3CB3">
        <w:fldChar w:fldCharType="end"/>
      </w:r>
      <w:r w:rsidRPr="001D3CB3">
        <w:t xml:space="preserve"> zeigen jeweils eine Reihung der Äcker in Abhängigkeit ihrer Entfernung zur Mur. Die Äcker Gersdorf, Lichendorf</w:t>
      </w:r>
      <w:r w:rsidRPr="00B412F3">
        <w:t xml:space="preserve"> 1 und Schwarza 1 grenzen direkt an den Auwaldstreifen der Mur an. Die Äcker Lichendorf 2, Schwarza 2 und Schwarza 3, und das Versuchsfeld in Lichendorf (Lichendorf V) befinden sich südlich der Südsteirischen Grenzstraße (im versuchsrelevanten Gebiet ca. 1,3 km von der Mur entfernt); Die Äcker Lichendorf 3, Lichendorf 4 und Schwarza 4 sowie der Versuchsacker in Unterschwarza (Schwarza V) nördlich derselben. Die Proben von Äckern in Murnähe zeigen höhere Mortalitätswerte durch Nematoden an dem Köderinsekt Mehlwurm. Diese bessere Überlebensfähigkeit der Nematoden korreliert mit dem Abstand zur Mur und hängt vermutlich mit der Bodenfeuchtigkeit bedingt durch die Höhe des Grundwasserspiegels zusammen. Zu beachten ist auch die zunehmende Larvenmortalität in den Erdproben von Mai gegenüber jenen von April. Nach der Ausbringung der Nematoden gab es bis zum ersten Auswertungstermin keinen Niederschlag. Es ist wahrscheinlich, dass die Nematoden in den Mur-fernen Äckern in tiefere, feuchtere Erdschichten abwanderten, und deshalb in geringerer Dichte in den </w:t>
      </w:r>
      <w:r w:rsidRPr="001D3CB3">
        <w:t>Bodenproben vorhanden waren. Nach Regenfällen Ende April/Anfang Mai fanden die Nematoden wieder vermehrt lebensfreundlichere Bedingungen in den oberen Bodenschichten vor.</w:t>
      </w:r>
    </w:p>
    <w:p w:rsidR="00402D84" w:rsidRDefault="00402D84" w:rsidP="00BE36E2">
      <w:pPr>
        <w:pStyle w:val="Flietext"/>
        <w:jc w:val="both"/>
      </w:pPr>
      <w:r w:rsidRPr="001D3CB3">
        <w:rPr>
          <w:color w:val="auto"/>
        </w:rPr>
        <w:fldChar w:fldCharType="begin"/>
      </w:r>
      <w:r w:rsidRPr="001D3CB3">
        <w:rPr>
          <w:color w:val="auto"/>
        </w:rPr>
        <w:instrText xml:space="preserve"> REF _Ref533058530 \h </w:instrText>
      </w:r>
      <w:r w:rsidR="00BE36E2" w:rsidRPr="001D3CB3">
        <w:rPr>
          <w:color w:val="auto"/>
        </w:rPr>
        <w:instrText xml:space="preserve"> \* MERGEFORMAT </w:instrText>
      </w:r>
      <w:r w:rsidRPr="001D3CB3">
        <w:rPr>
          <w:color w:val="auto"/>
        </w:rPr>
      </w:r>
      <w:r w:rsidRPr="001D3CB3">
        <w:rPr>
          <w:color w:val="auto"/>
        </w:rPr>
        <w:fldChar w:fldCharType="separate"/>
      </w:r>
      <w:r w:rsidR="00BE36E2" w:rsidRPr="001D3CB3">
        <w:rPr>
          <w:color w:val="auto"/>
        </w:rPr>
        <w:t xml:space="preserve">Abbildung </w:t>
      </w:r>
      <w:r w:rsidR="00BE36E2" w:rsidRPr="001D3CB3">
        <w:rPr>
          <w:noProof/>
          <w:color w:val="auto"/>
        </w:rPr>
        <w:t>21</w:t>
      </w:r>
      <w:r w:rsidRPr="001D3CB3">
        <w:rPr>
          <w:color w:val="auto"/>
        </w:rPr>
        <w:fldChar w:fldCharType="end"/>
      </w:r>
      <w:r w:rsidRPr="001D3CB3">
        <w:rPr>
          <w:color w:val="auto"/>
        </w:rPr>
        <w:t xml:space="preserve"> zei</w:t>
      </w:r>
      <w:r w:rsidRPr="001D3CB3">
        <w:t>gt zusätzlich die Ergebnisse der in den Referenzfeldern (unbehandelte Kontrolle *UK*) gezogenen Proben. Während in den benachbarten Feldern von Lichendorf 2 und Schwarza 2 (Kürbis bzw. Getreide) keine Nematoden durch die Persistenztests nachzuweisen waren, zeigte die Probe aus der naturnahen Umgebung von Lichendorf</w:t>
      </w:r>
      <w:r w:rsidRPr="00B412F3">
        <w:t xml:space="preserve"> 2, “Lichendorf UK 2 Kanal“, eine mittlere Mortalität von 3%. Dieser Wert ist zwar gering, aber es wäre interessant zu untersuchen, ob diese auf natürlich vorkommende </w:t>
      </w:r>
      <w:r>
        <w:t xml:space="preserve">insektenpathogene </w:t>
      </w:r>
      <w:r w:rsidRPr="00B412F3">
        <w:t xml:space="preserve">Nematoden zurückzuführen ist oder sich im Vorjahr ausgebrachte Nematoden im naturnahen System überleben konnten, indem sie alternative Wirte parasitierten. </w:t>
      </w:r>
    </w:p>
    <w:p w:rsidR="00402D84" w:rsidRDefault="00402D84" w:rsidP="00402D84">
      <w:pPr>
        <w:pStyle w:val="Flietext"/>
      </w:pPr>
      <w:r>
        <w:rPr>
          <w:noProof/>
          <w:lang w:eastAsia="de-AT"/>
        </w:rPr>
        <w:drawing>
          <wp:inline distT="0" distB="0" distL="0" distR="0" wp14:anchorId="4980E079" wp14:editId="70305A4B">
            <wp:extent cx="5828030" cy="3234055"/>
            <wp:effectExtent l="0" t="0" r="1270" b="4445"/>
            <wp:docPr id="25" name="Diagramm 25" title="Larvenmortalität durch Nematode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402D84" w:rsidRPr="00AF3C41" w:rsidRDefault="00402D84" w:rsidP="00A35242">
      <w:pPr>
        <w:pStyle w:val="Beschriftung"/>
        <w:jc w:val="both"/>
      </w:pPr>
      <w:bookmarkStart w:id="125" w:name="_Ref533058338"/>
      <w:bookmarkStart w:id="126" w:name="_Toc533059385"/>
      <w:bookmarkStart w:id="127" w:name="_Toc7715409"/>
      <w:r>
        <w:t xml:space="preserve">Abbildung </w:t>
      </w:r>
      <w:r>
        <w:rPr>
          <w:noProof/>
        </w:rPr>
        <w:fldChar w:fldCharType="begin"/>
      </w:r>
      <w:r>
        <w:rPr>
          <w:noProof/>
        </w:rPr>
        <w:instrText xml:space="preserve"> SEQ Abbildung \* ARABIC </w:instrText>
      </w:r>
      <w:r>
        <w:rPr>
          <w:noProof/>
        </w:rPr>
        <w:fldChar w:fldCharType="separate"/>
      </w:r>
      <w:r w:rsidR="00BE36E2">
        <w:rPr>
          <w:noProof/>
        </w:rPr>
        <w:t>20</w:t>
      </w:r>
      <w:r>
        <w:rPr>
          <w:noProof/>
        </w:rPr>
        <w:fldChar w:fldCharType="end"/>
      </w:r>
      <w:bookmarkEnd w:id="125"/>
      <w:r>
        <w:t xml:space="preserve">: Nematodenbedingte </w:t>
      </w:r>
      <w:r w:rsidRPr="000849DE">
        <w:t>Mortalität der Mehlkäferlarven in dem Test nach Pilz. Die Ziehung der Erdproben erfolgte 1 Woche nach Ausbringung der insekten-pathogenen Nematoden. Die grüne Linie gibt die Entfernung der Versuchsfelder von der Mur in Metern an. In der Vergleichsvariante Presstopfsubstrat lag die Mortalität bei 0%.</w:t>
      </w:r>
      <w:bookmarkEnd w:id="126"/>
      <w:bookmarkEnd w:id="127"/>
    </w:p>
    <w:p w:rsidR="00402D84" w:rsidRPr="00AF3C41" w:rsidRDefault="00402D84" w:rsidP="00402D84">
      <w:pPr>
        <w:pStyle w:val="Flietext"/>
      </w:pPr>
      <w:r>
        <w:rPr>
          <w:noProof/>
          <w:lang w:eastAsia="de-AT"/>
        </w:rPr>
        <w:drawing>
          <wp:inline distT="0" distB="0" distL="0" distR="0" wp14:anchorId="0A04F55F" wp14:editId="7B45F63B">
            <wp:extent cx="5828030" cy="3486150"/>
            <wp:effectExtent l="0" t="0" r="1270" b="0"/>
            <wp:docPr id="26" name="Diagramm 26" title="Larvenmortalität durch Nematode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402D84" w:rsidRPr="0058595C" w:rsidRDefault="00402D84" w:rsidP="00BE36E2">
      <w:pPr>
        <w:pStyle w:val="Beschriftung"/>
        <w:jc w:val="both"/>
      </w:pPr>
      <w:bookmarkStart w:id="128" w:name="_Ref533058530"/>
      <w:bookmarkStart w:id="129" w:name="_Toc533059386"/>
      <w:bookmarkStart w:id="130" w:name="_Toc7715410"/>
      <w:r w:rsidRPr="0058595C">
        <w:t xml:space="preserve">Abbildung </w:t>
      </w:r>
      <w:r>
        <w:rPr>
          <w:noProof/>
        </w:rPr>
        <w:fldChar w:fldCharType="begin"/>
      </w:r>
      <w:r>
        <w:rPr>
          <w:noProof/>
        </w:rPr>
        <w:instrText xml:space="preserve"> SEQ Abbildung \* ARABIC </w:instrText>
      </w:r>
      <w:r>
        <w:rPr>
          <w:noProof/>
        </w:rPr>
        <w:fldChar w:fldCharType="separate"/>
      </w:r>
      <w:r w:rsidR="00BE36E2">
        <w:rPr>
          <w:noProof/>
        </w:rPr>
        <w:t>21</w:t>
      </w:r>
      <w:r>
        <w:rPr>
          <w:noProof/>
        </w:rPr>
        <w:fldChar w:fldCharType="end"/>
      </w:r>
      <w:bookmarkEnd w:id="128"/>
      <w:r w:rsidRPr="0058595C">
        <w:t>: Nem</w:t>
      </w:r>
      <w:r>
        <w:t>a</w:t>
      </w:r>
      <w:r w:rsidRPr="0058595C">
        <w:t>todenbedingte Mortalität der Mehlkäferlarven; die Ziehung der Erdproben erfolgte 1 Monat nach Ausbringung der insektenpathogenen Nematoden. Die grüne Linie gibt die Entfernung der Versuchsfelder von der Mur in Metern an. In der Vergleichsvariante Presstopfsubstrat lag die Mortalität bei 0%.</w:t>
      </w:r>
      <w:bookmarkEnd w:id="129"/>
      <w:bookmarkEnd w:id="130"/>
    </w:p>
    <w:p w:rsidR="00402D84" w:rsidRPr="00B120FB" w:rsidRDefault="00402D84" w:rsidP="00373C99">
      <w:pPr>
        <w:pStyle w:val="Flietext"/>
        <w:jc w:val="both"/>
        <w:rPr>
          <w:color w:val="auto"/>
        </w:rPr>
      </w:pPr>
      <w:r w:rsidRPr="00B412F3">
        <w:t xml:space="preserve">Interessant war zudem, dass auch die Erdprobe der unbehandelten Kontrolle des Versuchsfeldes Schwarza V </w:t>
      </w:r>
      <w:r w:rsidRPr="00B120FB">
        <w:t>Nematoden enthielt. Hier kann die Parasitierung von Ersatzwirten ausgeschlossen werden. Persistenztests mit Erdproben von September 2016 ergaben geringe Mortalität durch Nematoden im Test nach Pilz: je 4 % in den Varianten Dianem + Rhizovital am Standort Schwarza und Dianem am Standort Lichendorf. Somit die Persistenz von Nematoden aus Vorjahresversuchen nicht ausgeschlossen werden.</w:t>
      </w:r>
    </w:p>
    <w:p w:rsidR="00402D84" w:rsidRPr="00B412F3" w:rsidRDefault="00402D84" w:rsidP="00373C99">
      <w:pPr>
        <w:pStyle w:val="Flietext"/>
        <w:jc w:val="both"/>
      </w:pPr>
      <w:r w:rsidRPr="00B120FB">
        <w:rPr>
          <w:color w:val="auto"/>
        </w:rPr>
        <w:t xml:space="preserve">Zu beachten ist, dass der Test auf Persistenz nicht mit dem Nachweis der Virulenz gleichzusetzen </w:t>
      </w:r>
      <w:r w:rsidRPr="00B412F3">
        <w:t>ist. Trotzdem zeigen die hohen Parasitierungsraten des Ers</w:t>
      </w:r>
      <w:r w:rsidR="00373C99">
        <w:t xml:space="preserve">atzwirtes Mehlwurm einen guten </w:t>
      </w:r>
      <w:r w:rsidRPr="00B412F3">
        <w:t xml:space="preserve">Nematodenbesatz und/oder eine gute Aktivität der Nematoden in den </w:t>
      </w:r>
      <w:r>
        <w:t>untersuchten</w:t>
      </w:r>
      <w:r w:rsidRPr="00B412F3">
        <w:t xml:space="preserve"> Feldern. </w:t>
      </w:r>
    </w:p>
    <w:p w:rsidR="00402D84" w:rsidRPr="00B412F3" w:rsidRDefault="00402D84" w:rsidP="00373C99">
      <w:pPr>
        <w:pStyle w:val="Flietext"/>
        <w:jc w:val="both"/>
      </w:pPr>
      <w:r w:rsidRPr="001D3CB3">
        <w:t>Der Versuchsansatz mit Falcontubes brachte weder qualitativ noch quantitativ vergleichbare Ergebnisse (</w:t>
      </w:r>
      <w:r w:rsidRPr="001D3CB3">
        <w:fldChar w:fldCharType="begin"/>
      </w:r>
      <w:r w:rsidRPr="001D3CB3">
        <w:instrText xml:space="preserve"> REF _Ref533058581 \h </w:instrText>
      </w:r>
      <w:r w:rsidR="00373C99" w:rsidRPr="001D3CB3">
        <w:instrText xml:space="preserve"> \* MERGEFORMAT </w:instrText>
      </w:r>
      <w:r w:rsidRPr="001D3CB3">
        <w:fldChar w:fldCharType="separate"/>
      </w:r>
      <w:r w:rsidR="004D7C8F" w:rsidRPr="001D3CB3">
        <w:t xml:space="preserve">Abbildung </w:t>
      </w:r>
      <w:r w:rsidR="004D7C8F" w:rsidRPr="001D3CB3">
        <w:rPr>
          <w:noProof/>
        </w:rPr>
        <w:t>22</w:t>
      </w:r>
      <w:r w:rsidRPr="001D3CB3">
        <w:fldChar w:fldCharType="end"/>
      </w:r>
      <w:r w:rsidRPr="001D3CB3">
        <w:t>) zu dem Persistenztest nach Pilz und wurde nach dem ersten Einsatz im April nicht wiederholt. Möglicherweise</w:t>
      </w:r>
      <w:r w:rsidRPr="00B412F3">
        <w:t xml:space="preserve"> lag die geringe Aktivität der Nematoden an den noch niedrigen Temperaturen im Freiland Mitte April. Möglicherweise hätte eine längere Infektionsperiode höhere Mortalitätsraten zu Folge gehabt. </w:t>
      </w:r>
    </w:p>
    <w:p w:rsidR="00402D84" w:rsidRPr="00302B23" w:rsidRDefault="00402D84" w:rsidP="00402D84">
      <w:pPr>
        <w:pStyle w:val="Flietext"/>
      </w:pPr>
      <w:r w:rsidRPr="00302B23">
        <w:rPr>
          <w:noProof/>
          <w:lang w:eastAsia="de-AT"/>
        </w:rPr>
        <w:drawing>
          <wp:inline distT="0" distB="0" distL="0" distR="0" wp14:anchorId="46042287" wp14:editId="27AD80DE">
            <wp:extent cx="5752465" cy="2918460"/>
            <wp:effectExtent l="0" t="0" r="635" b="15240"/>
            <wp:docPr id="9265" name="Diagramm 9265" title="Methodenvergleich Nematodennachweis"/>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402D84" w:rsidRPr="0058595C" w:rsidRDefault="00402D84" w:rsidP="00373C99">
      <w:pPr>
        <w:pStyle w:val="Beschriftung"/>
        <w:jc w:val="both"/>
      </w:pPr>
      <w:bookmarkStart w:id="131" w:name="_Ref533058581"/>
      <w:bookmarkStart w:id="132" w:name="_Toc533059387"/>
      <w:bookmarkStart w:id="133" w:name="_Toc7715411"/>
      <w:r w:rsidRPr="0058595C">
        <w:t xml:space="preserve">Abbildung </w:t>
      </w:r>
      <w:r>
        <w:rPr>
          <w:noProof/>
        </w:rPr>
        <w:fldChar w:fldCharType="begin"/>
      </w:r>
      <w:r>
        <w:rPr>
          <w:noProof/>
        </w:rPr>
        <w:instrText xml:space="preserve"> SEQ Abbildung \* ARABIC </w:instrText>
      </w:r>
      <w:r>
        <w:rPr>
          <w:noProof/>
        </w:rPr>
        <w:fldChar w:fldCharType="separate"/>
      </w:r>
      <w:r w:rsidR="00373C99">
        <w:rPr>
          <w:noProof/>
        </w:rPr>
        <w:t>22</w:t>
      </w:r>
      <w:r>
        <w:rPr>
          <w:noProof/>
        </w:rPr>
        <w:fldChar w:fldCharType="end"/>
      </w:r>
      <w:bookmarkEnd w:id="131"/>
      <w:r w:rsidRPr="0058595C">
        <w:t>: Nem</w:t>
      </w:r>
      <w:r>
        <w:t>a</w:t>
      </w:r>
      <w:r w:rsidRPr="0058595C">
        <w:t>todenbedingte Mortalität von Mehlkäferlarven: die Ziehung der Erdproben erfolgte 1 Woche nach Ausbringung der insektenpathogenen Nematoden. Vergleich der Persistenztests nach Pilz et al.(Dosen) und nach Preissler (Falcon Tubes).</w:t>
      </w:r>
      <w:bookmarkEnd w:id="132"/>
      <w:bookmarkEnd w:id="133"/>
      <w:r w:rsidRPr="0058595C">
        <w:t xml:space="preserve"> </w:t>
      </w:r>
    </w:p>
    <w:p w:rsidR="00402D84" w:rsidRPr="00106B6D" w:rsidRDefault="00402D84" w:rsidP="00106B6D">
      <w:pPr>
        <w:pStyle w:val="Flietext"/>
        <w:jc w:val="both"/>
        <w:rPr>
          <w:color w:val="auto"/>
        </w:rPr>
      </w:pPr>
      <w:r w:rsidRPr="001F75BD">
        <w:rPr>
          <w:color w:val="auto"/>
        </w:rPr>
        <w:t xml:space="preserve">Bei einer Vergleichs-Bonitur der Wurzelballen wurde nur an einem Standort eine rotgefärbte bzw. Nematoden-befallene </w:t>
      </w:r>
      <w:r w:rsidRPr="001F75BD">
        <w:rPr>
          <w:i/>
          <w:color w:val="auto"/>
        </w:rPr>
        <w:t>D. virgifera</w:t>
      </w:r>
      <w:r w:rsidRPr="001F75BD">
        <w:rPr>
          <w:color w:val="auto"/>
        </w:rPr>
        <w:t xml:space="preserve">-Larve gefunden. Diese geringe Anzahl an Parasitierungsfunden ist mit der Kleinheit der Diabrotica-Larven zu erklären. Die Kadaver von Larven, welche mit Nematoden befallen waren, können bereits nach kurzer Zeit nicht mehr von anderen organischen Anteilen des Bodens unterschieden werden. </w:t>
      </w:r>
    </w:p>
    <w:p w:rsidR="00402D84" w:rsidRPr="00120125" w:rsidRDefault="00402D84" w:rsidP="00E0439C">
      <w:pPr>
        <w:pStyle w:val="11Unterkapitel"/>
      </w:pPr>
      <w:bookmarkStart w:id="134" w:name="_Toc533059344"/>
      <w:bookmarkStart w:id="135" w:name="_Toc7715585"/>
      <w:r>
        <w:t>Vergleich unterschiedlicher Auswertungsmethoden des Käferschlupfes bzw. des Schadbildes im Feld</w:t>
      </w:r>
      <w:bookmarkEnd w:id="134"/>
      <w:bookmarkEnd w:id="135"/>
    </w:p>
    <w:p w:rsidR="00402D84" w:rsidRDefault="00402D84" w:rsidP="00E0439C">
      <w:pPr>
        <w:pStyle w:val="12Unterkapitel"/>
      </w:pPr>
      <w:bookmarkStart w:id="136" w:name="_Toc533059345"/>
      <w:bookmarkStart w:id="137" w:name="_Toc7715586"/>
      <w:r>
        <w:t>Methodenvergleich 2016</w:t>
      </w:r>
      <w:bookmarkEnd w:id="136"/>
      <w:bookmarkEnd w:id="137"/>
    </w:p>
    <w:p w:rsidR="00402D84" w:rsidRPr="00A65796" w:rsidRDefault="00402D84" w:rsidP="00E0439C">
      <w:pPr>
        <w:pStyle w:val="13Unterkapitel"/>
        <w:rPr>
          <w:rStyle w:val="Einleitung"/>
          <w:b w:val="0"/>
          <w:bCs w:val="0"/>
          <w:caps/>
        </w:rPr>
      </w:pPr>
      <w:bookmarkStart w:id="138" w:name="_Toc533059346"/>
      <w:bookmarkStart w:id="139" w:name="_Toc7715587"/>
      <w:r>
        <w:t>Photoeklektoren</w:t>
      </w:r>
      <w:bookmarkEnd w:id="138"/>
      <w:bookmarkEnd w:id="139"/>
    </w:p>
    <w:p w:rsidR="00402D84" w:rsidRPr="00106B6D" w:rsidRDefault="00402D84" w:rsidP="00106B6D">
      <w:pPr>
        <w:pStyle w:val="Flietext"/>
        <w:jc w:val="both"/>
        <w:rPr>
          <w:color w:val="auto"/>
        </w:rPr>
      </w:pPr>
      <w:r w:rsidRPr="00E06B13">
        <w:rPr>
          <w:color w:val="000000" w:themeColor="text1"/>
        </w:rPr>
        <w:t xml:space="preserve">Der Käferschlupf in den </w:t>
      </w:r>
      <w:r w:rsidRPr="00E06B13">
        <w:rPr>
          <w:b/>
          <w:color w:val="000000" w:themeColor="text1"/>
        </w:rPr>
        <w:t>Kübel-</w:t>
      </w:r>
      <w:r w:rsidRPr="00E06B13">
        <w:rPr>
          <w:color w:val="000000" w:themeColor="text1"/>
        </w:rPr>
        <w:t xml:space="preserve"> und </w:t>
      </w:r>
      <w:r w:rsidRPr="00E06B13">
        <w:rPr>
          <w:b/>
          <w:color w:val="000000" w:themeColor="text1"/>
        </w:rPr>
        <w:t>Folienzelt-</w:t>
      </w:r>
      <w:r w:rsidRPr="001D3CB3">
        <w:rPr>
          <w:b/>
          <w:color w:val="000000" w:themeColor="text1"/>
        </w:rPr>
        <w:t>Photoeklektoren</w:t>
      </w:r>
      <w:r w:rsidRPr="001D3CB3">
        <w:rPr>
          <w:color w:val="000000" w:themeColor="text1"/>
        </w:rPr>
        <w:t xml:space="preserve"> (</w:t>
      </w:r>
      <w:r w:rsidRPr="001D3CB3">
        <w:rPr>
          <w:color w:val="auto"/>
        </w:rPr>
        <w:fldChar w:fldCharType="begin"/>
      </w:r>
      <w:r w:rsidRPr="001D3CB3">
        <w:rPr>
          <w:color w:val="auto"/>
        </w:rPr>
        <w:instrText xml:space="preserve"> REF _Ref533058610 \h </w:instrText>
      </w:r>
      <w:r w:rsidR="00106B6D" w:rsidRPr="001D3CB3">
        <w:rPr>
          <w:color w:val="auto"/>
        </w:rPr>
        <w:instrText xml:space="preserve"> \* MERGEFORMAT </w:instrText>
      </w:r>
      <w:r w:rsidRPr="001D3CB3">
        <w:rPr>
          <w:color w:val="auto"/>
        </w:rPr>
      </w:r>
      <w:r w:rsidRPr="001D3CB3">
        <w:rPr>
          <w:color w:val="auto"/>
        </w:rPr>
        <w:fldChar w:fldCharType="separate"/>
      </w:r>
      <w:r w:rsidR="00106B6D" w:rsidRPr="001D3CB3">
        <w:t xml:space="preserve">Abbildung </w:t>
      </w:r>
      <w:r w:rsidR="00106B6D" w:rsidRPr="001D3CB3">
        <w:rPr>
          <w:noProof/>
        </w:rPr>
        <w:t>23</w:t>
      </w:r>
      <w:r w:rsidRPr="001D3CB3">
        <w:rPr>
          <w:color w:val="auto"/>
        </w:rPr>
        <w:fldChar w:fldCharType="end"/>
      </w:r>
      <w:r w:rsidRPr="001D3CB3">
        <w:rPr>
          <w:color w:val="auto"/>
        </w:rPr>
        <w:t xml:space="preserve"> a und b) </w:t>
      </w:r>
      <w:r w:rsidRPr="001D3CB3">
        <w:rPr>
          <w:color w:val="000000" w:themeColor="text1"/>
        </w:rPr>
        <w:t>zeigte gut miteinander vergleichbare Werte. Während der Schlupf in ersterem Fallentyp in der Variante</w:t>
      </w:r>
      <w:r w:rsidR="004D7C8F" w:rsidRPr="001D3CB3">
        <w:rPr>
          <w:color w:val="000000" w:themeColor="text1"/>
        </w:rPr>
        <w:t xml:space="preserve"> Dianem um </w:t>
      </w:r>
      <w:r w:rsidR="00106B6D" w:rsidRPr="001D3CB3">
        <w:rPr>
          <w:color w:val="000000" w:themeColor="text1"/>
        </w:rPr>
        <w:t xml:space="preserve">8 % unter jener </w:t>
      </w:r>
      <w:r w:rsidRPr="001D3CB3">
        <w:rPr>
          <w:color w:val="000000" w:themeColor="text1"/>
        </w:rPr>
        <w:t>der Positivkontrolle Belem und 50 % unter jener der Unbehandelten Kontrolle</w:t>
      </w:r>
      <w:r w:rsidRPr="00E06B13">
        <w:rPr>
          <w:color w:val="000000" w:themeColor="text1"/>
        </w:rPr>
        <w:t xml:space="preserve"> lag, entsprach der Wert der Variante Dianem + Rhizovital 42 jener der Positivkontrolle (40 bzw. 42 % der UK). Zweiterer Fallentyp war ausschließlich der Variante Dianem + Rhizovital 42 und der Unbehandelte Kontrolle installiert. Hier zeigte die </w:t>
      </w:r>
      <w:r w:rsidRPr="00E06B13">
        <w:rPr>
          <w:noProof/>
          <w:color w:val="000000" w:themeColor="text1"/>
          <w:lang w:eastAsia="de-AT"/>
        </w:rPr>
        <w:t xml:space="preserve">behandelte Variante eine Reduktion des Käferschlupfes um 38 % gegenüber der </w:t>
      </w:r>
      <w:r w:rsidRPr="007B4364">
        <w:rPr>
          <w:noProof/>
          <w:color w:val="auto"/>
          <w:lang w:eastAsia="de-AT"/>
        </w:rPr>
        <w:t xml:space="preserve">UK. Höhere Absolut- Käferzahlen sind bedingt durch die größere Auswertungsfläche dieses Eklektoren-Typs. </w:t>
      </w:r>
      <w:r w:rsidRPr="007B4364">
        <w:rPr>
          <w:color w:val="auto"/>
        </w:rPr>
        <w:t xml:space="preserve">Der höhere Käferschlupf in der Variante Dianem + Rhizovital gegenüber der Variante Dianem könnte auf </w:t>
      </w:r>
      <w:r w:rsidRPr="00106B6D">
        <w:rPr>
          <w:color w:val="auto"/>
        </w:rPr>
        <w:t xml:space="preserve">besseres Wurzelwachstum und somit besserer Nahrungsverfügbarkeit für die Käferlarven zurückzuführen sein. </w:t>
      </w:r>
    </w:p>
    <w:p w:rsidR="00402D84" w:rsidRPr="00106B6D" w:rsidRDefault="00402D84" w:rsidP="00402D84">
      <w:pPr>
        <w:pStyle w:val="Flietext"/>
        <w:rPr>
          <w:color w:val="auto"/>
        </w:rPr>
      </w:pPr>
      <w:r w:rsidRPr="00A51E02">
        <w:rPr>
          <w:noProof/>
          <w:lang w:eastAsia="de-AT"/>
        </w:rPr>
        <w:t xml:space="preserve"> </w:t>
      </w:r>
      <w:r>
        <w:rPr>
          <w:noProof/>
          <w:lang w:eastAsia="de-AT"/>
        </w:rPr>
        <w:drawing>
          <wp:inline distT="0" distB="0" distL="0" distR="0" wp14:anchorId="463586BC" wp14:editId="0E7EBC15">
            <wp:extent cx="3124200" cy="2600325"/>
            <wp:effectExtent l="0" t="0" r="0" b="9525"/>
            <wp:docPr id="9266" name="Diagramm 9266" title="Käferschlupf Photoeklektore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Pr>
          <w:noProof/>
          <w:lang w:eastAsia="de-AT"/>
        </w:rPr>
        <w:t xml:space="preserve"> </w:t>
      </w:r>
      <w:r>
        <w:rPr>
          <w:noProof/>
          <w:lang w:eastAsia="de-AT"/>
        </w:rPr>
        <w:drawing>
          <wp:inline distT="0" distB="0" distL="0" distR="0" wp14:anchorId="2F0226AE" wp14:editId="0092ABC5">
            <wp:extent cx="2562225" cy="2595245"/>
            <wp:effectExtent l="0" t="0" r="9525" b="14605"/>
            <wp:docPr id="9267" name="Diagramm 9267" title="Käferschlupf Folienzelt"/>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402D84" w:rsidRPr="00106B6D" w:rsidRDefault="00402D84" w:rsidP="00402D84">
      <w:pPr>
        <w:pStyle w:val="Beschriftung"/>
        <w:rPr>
          <w:color w:val="auto"/>
        </w:rPr>
      </w:pPr>
      <w:bookmarkStart w:id="140" w:name="_Ref533058610"/>
      <w:bookmarkStart w:id="141" w:name="_Toc533059388"/>
      <w:bookmarkStart w:id="142" w:name="_Toc7715412"/>
      <w:r w:rsidRPr="00106B6D">
        <w:rPr>
          <w:color w:val="auto"/>
        </w:rPr>
        <w:t xml:space="preserve">Abbildung </w:t>
      </w:r>
      <w:r w:rsidRPr="00106B6D">
        <w:rPr>
          <w:noProof/>
          <w:color w:val="auto"/>
        </w:rPr>
        <w:fldChar w:fldCharType="begin"/>
      </w:r>
      <w:r w:rsidRPr="00106B6D">
        <w:rPr>
          <w:noProof/>
          <w:color w:val="auto"/>
        </w:rPr>
        <w:instrText xml:space="preserve"> SEQ Abbildung \* ARABIC </w:instrText>
      </w:r>
      <w:r w:rsidRPr="00106B6D">
        <w:rPr>
          <w:noProof/>
          <w:color w:val="auto"/>
        </w:rPr>
        <w:fldChar w:fldCharType="separate"/>
      </w:r>
      <w:r w:rsidR="00106B6D" w:rsidRPr="00106B6D">
        <w:rPr>
          <w:noProof/>
          <w:color w:val="auto"/>
        </w:rPr>
        <w:t>23</w:t>
      </w:r>
      <w:r w:rsidRPr="00106B6D">
        <w:rPr>
          <w:noProof/>
          <w:color w:val="auto"/>
        </w:rPr>
        <w:fldChar w:fldCharType="end"/>
      </w:r>
      <w:bookmarkEnd w:id="140"/>
      <w:r w:rsidRPr="00106B6D">
        <w:rPr>
          <w:color w:val="auto"/>
        </w:rPr>
        <w:t>: a. kumulierter Käferschlupf aus Kübel- (links) und b. aus Folienzelt-Photoeklektoren (rechts)</w:t>
      </w:r>
      <w:bookmarkEnd w:id="141"/>
      <w:bookmarkEnd w:id="142"/>
    </w:p>
    <w:p w:rsidR="00402D84" w:rsidRPr="00106B6D" w:rsidRDefault="00402D84" w:rsidP="00402D84">
      <w:pPr>
        <w:pStyle w:val="12Unterkapitel"/>
        <w:ind w:left="864"/>
        <w:rPr>
          <w:rStyle w:val="Einleitung"/>
          <w:b w:val="0"/>
          <w:bCs w:val="0"/>
          <w:caps/>
          <w:color w:val="auto"/>
        </w:rPr>
      </w:pPr>
      <w:bookmarkStart w:id="143" w:name="_Toc533059347"/>
      <w:bookmarkStart w:id="144" w:name="_Toc7715588"/>
      <w:r w:rsidRPr="00106B6D">
        <w:rPr>
          <w:color w:val="auto"/>
        </w:rPr>
        <w:t>Fangtafeln</w:t>
      </w:r>
      <w:bookmarkEnd w:id="143"/>
      <w:bookmarkEnd w:id="144"/>
    </w:p>
    <w:p w:rsidR="00402D84" w:rsidRPr="00DF25C0" w:rsidRDefault="00402D84" w:rsidP="00106B6D">
      <w:pPr>
        <w:pStyle w:val="Flietext"/>
        <w:jc w:val="both"/>
        <w:rPr>
          <w:color w:val="auto"/>
        </w:rPr>
      </w:pPr>
      <w:r w:rsidRPr="00106B6D">
        <w:rPr>
          <w:color w:val="auto"/>
        </w:rPr>
        <w:t xml:space="preserve">Käferfänge mit den </w:t>
      </w:r>
      <w:r w:rsidRPr="00106B6D">
        <w:rPr>
          <w:b/>
          <w:color w:val="auto"/>
        </w:rPr>
        <w:t>Fangtafeln</w:t>
      </w:r>
      <w:r w:rsidRPr="00106B6D">
        <w:rPr>
          <w:color w:val="auto"/>
        </w:rPr>
        <w:t xml:space="preserve"> zeigten erwartungsgemäß </w:t>
      </w:r>
      <w:r w:rsidRPr="00E06B13">
        <w:rPr>
          <w:color w:val="auto"/>
        </w:rPr>
        <w:t>auf den gelben PALs-Leim</w:t>
      </w:r>
      <w:r>
        <w:rPr>
          <w:color w:val="auto"/>
        </w:rPr>
        <w:t>ta</w:t>
      </w:r>
      <w:r w:rsidRPr="00E06B13">
        <w:rPr>
          <w:color w:val="auto"/>
        </w:rPr>
        <w:t xml:space="preserve">feln aufgrund der Lockwirkung durch Farbreize höhere Fänge als auf den transparenten PAL-Leimtafeln. Im gegenständlichen </w:t>
      </w:r>
      <w:r w:rsidRPr="001D3CB3">
        <w:rPr>
          <w:color w:val="auto"/>
        </w:rPr>
        <w:t>Versuch war die Zahl der Käfer auf PALs ca. 5 Mal höher als jene auf den PAL. Der direkte Vergleich der Varianten Dianem + Rhizovital 42 und UK zeigte bei den PALs 33 % und bei den PAL 45 % der Fänge er UK (</w:t>
      </w:r>
      <w:r w:rsidRPr="001D3CB3">
        <w:rPr>
          <w:color w:val="FF0000"/>
        </w:rPr>
        <w:fldChar w:fldCharType="begin"/>
      </w:r>
      <w:r w:rsidRPr="001D3CB3">
        <w:rPr>
          <w:color w:val="auto"/>
        </w:rPr>
        <w:instrText xml:space="preserve"> REF _Ref533058639 \h </w:instrText>
      </w:r>
      <w:r w:rsidR="00106B6D" w:rsidRPr="001D3CB3">
        <w:rPr>
          <w:color w:val="FF0000"/>
        </w:rPr>
        <w:instrText xml:space="preserve"> \* MERGEFORMAT </w:instrText>
      </w:r>
      <w:r w:rsidRPr="001D3CB3">
        <w:rPr>
          <w:color w:val="FF0000"/>
        </w:rPr>
      </w:r>
      <w:r w:rsidRPr="001D3CB3">
        <w:rPr>
          <w:color w:val="FF0000"/>
        </w:rPr>
        <w:fldChar w:fldCharType="separate"/>
      </w:r>
      <w:r w:rsidR="00106B6D" w:rsidRPr="001D3CB3">
        <w:t xml:space="preserve">Abbildung </w:t>
      </w:r>
      <w:r w:rsidR="00106B6D" w:rsidRPr="001D3CB3">
        <w:rPr>
          <w:noProof/>
        </w:rPr>
        <w:t>24</w:t>
      </w:r>
      <w:r w:rsidRPr="001D3CB3">
        <w:rPr>
          <w:color w:val="FF0000"/>
        </w:rPr>
        <w:fldChar w:fldCharType="end"/>
      </w:r>
      <w:r w:rsidRPr="001D3CB3">
        <w:rPr>
          <w:color w:val="auto"/>
        </w:rPr>
        <w:t>).</w:t>
      </w:r>
      <w:r w:rsidRPr="00E06B13">
        <w:rPr>
          <w:color w:val="auto"/>
        </w:rPr>
        <w:t xml:space="preserve"> </w:t>
      </w:r>
    </w:p>
    <w:p w:rsidR="00402D84" w:rsidRDefault="00402D84" w:rsidP="00402D84">
      <w:pPr>
        <w:pStyle w:val="Flietext"/>
        <w:rPr>
          <w:noProof/>
          <w:lang w:eastAsia="de-AT"/>
        </w:rPr>
      </w:pPr>
      <w:r>
        <w:rPr>
          <w:noProof/>
          <w:lang w:eastAsia="de-AT"/>
        </w:rPr>
        <w:drawing>
          <wp:inline distT="0" distB="0" distL="0" distR="0" wp14:anchorId="15D44DC8" wp14:editId="4E439E74">
            <wp:extent cx="3190875" cy="2667000"/>
            <wp:effectExtent l="0" t="0" r="9525" b="0"/>
            <wp:docPr id="9268" name="Diagramm 9268" title="Käferfänge Gelbtafel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Pr="004D11B6">
        <w:rPr>
          <w:noProof/>
          <w:lang w:eastAsia="de-AT"/>
        </w:rPr>
        <w:t xml:space="preserve"> </w:t>
      </w:r>
      <w:r>
        <w:rPr>
          <w:noProof/>
          <w:lang w:eastAsia="de-AT"/>
        </w:rPr>
        <w:drawing>
          <wp:inline distT="0" distB="0" distL="0" distR="0" wp14:anchorId="22142CFE" wp14:editId="6C705553">
            <wp:extent cx="2562225" cy="2686050"/>
            <wp:effectExtent l="0" t="0" r="9525" b="0"/>
            <wp:docPr id="9269" name="Diagramm 9269" title="Käferfänge transparente Tafel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106B6D" w:rsidRPr="003D69F7" w:rsidRDefault="00106B6D" w:rsidP="00106B6D">
      <w:pPr>
        <w:pStyle w:val="Beschriftung"/>
        <w:ind w:left="0"/>
        <w:rPr>
          <w:noProof/>
          <w:color w:val="auto"/>
          <w:lang w:eastAsia="de-AT"/>
        </w:rPr>
      </w:pPr>
      <w:bookmarkStart w:id="145" w:name="_Ref533058639"/>
      <w:bookmarkStart w:id="146" w:name="_Toc533059389"/>
      <w:bookmarkStart w:id="147" w:name="_Toc7715413"/>
      <w:r>
        <w:t xml:space="preserve">Abbildung </w:t>
      </w:r>
      <w:r>
        <w:rPr>
          <w:noProof/>
        </w:rPr>
        <w:fldChar w:fldCharType="begin"/>
      </w:r>
      <w:r>
        <w:rPr>
          <w:noProof/>
        </w:rPr>
        <w:instrText xml:space="preserve"> SEQ Abbildung \* ARABIC </w:instrText>
      </w:r>
      <w:r>
        <w:rPr>
          <w:noProof/>
        </w:rPr>
        <w:fldChar w:fldCharType="separate"/>
      </w:r>
      <w:r>
        <w:rPr>
          <w:noProof/>
        </w:rPr>
        <w:t>24</w:t>
      </w:r>
      <w:r>
        <w:rPr>
          <w:noProof/>
        </w:rPr>
        <w:fldChar w:fldCharType="end"/>
      </w:r>
      <w:bookmarkEnd w:id="145"/>
      <w:r>
        <w:t xml:space="preserve">: </w:t>
      </w:r>
      <w:r w:rsidRPr="003D69F7">
        <w:rPr>
          <w:noProof/>
          <w:color w:val="auto"/>
          <w:lang w:eastAsia="de-AT"/>
        </w:rPr>
        <w:t>Käferfänge in gelben PALs- (links) und transparenten PAL- Klebefallen (rechts)</w:t>
      </w:r>
      <w:bookmarkEnd w:id="146"/>
      <w:bookmarkEnd w:id="147"/>
    </w:p>
    <w:p w:rsidR="00106B6D" w:rsidRDefault="00106B6D" w:rsidP="00402D84">
      <w:pPr>
        <w:pStyle w:val="Flietext"/>
        <w:rPr>
          <w:noProof/>
          <w:lang w:eastAsia="de-AT"/>
        </w:rPr>
      </w:pPr>
    </w:p>
    <w:p w:rsidR="00402D84" w:rsidRPr="00463B86" w:rsidRDefault="00402D84" w:rsidP="00402D84">
      <w:pPr>
        <w:pStyle w:val="12Unterkapitel"/>
        <w:numPr>
          <w:ilvl w:val="3"/>
          <w:numId w:val="3"/>
        </w:numPr>
        <w:ind w:left="864"/>
        <w:rPr>
          <w:rStyle w:val="Einleitung"/>
          <w:b w:val="0"/>
          <w:bCs w:val="0"/>
          <w:caps/>
        </w:rPr>
      </w:pPr>
      <w:bookmarkStart w:id="148" w:name="_Toc533059348"/>
      <w:bookmarkStart w:id="149" w:name="_Toc7715589"/>
      <w:r>
        <w:t>Trichterfallen</w:t>
      </w:r>
      <w:bookmarkEnd w:id="148"/>
      <w:bookmarkEnd w:id="149"/>
    </w:p>
    <w:p w:rsidR="00402D84" w:rsidRPr="003D69F7" w:rsidRDefault="00402D84" w:rsidP="00106B6D">
      <w:pPr>
        <w:pStyle w:val="Flietext"/>
        <w:jc w:val="both"/>
        <w:rPr>
          <w:color w:val="auto"/>
        </w:rPr>
      </w:pPr>
      <w:r w:rsidRPr="00DF25C0">
        <w:rPr>
          <w:color w:val="auto"/>
        </w:rPr>
        <w:t xml:space="preserve">Die beiden </w:t>
      </w:r>
      <w:r w:rsidRPr="00DF25C0">
        <w:rPr>
          <w:b/>
          <w:color w:val="auto"/>
        </w:rPr>
        <w:t>Trichterfallen</w:t>
      </w:r>
      <w:r w:rsidRPr="00DF25C0">
        <w:rPr>
          <w:color w:val="auto"/>
        </w:rPr>
        <w:t xml:space="preserve">typen lieferten stark unterschiedliche Ergebnisse. Während auf den Leimringen nur sehr wenige </w:t>
      </w:r>
      <w:r w:rsidRPr="001D3CB3">
        <w:rPr>
          <w:color w:val="auto"/>
        </w:rPr>
        <w:t>Käfer klebten, war in den Trichterfallen mit Insektizid durchschnittl</w:t>
      </w:r>
      <w:r w:rsidR="004D7C8F" w:rsidRPr="001D3CB3">
        <w:rPr>
          <w:color w:val="auto"/>
        </w:rPr>
        <w:t xml:space="preserve">ich die 20fache Zahl an Käfern </w:t>
      </w:r>
      <w:r w:rsidRPr="001D3CB3">
        <w:rPr>
          <w:color w:val="auto"/>
        </w:rPr>
        <w:t>zu finden. Grundsätzlich waren jedoch in beiden Fallentypen die Fänge in der behandelten Variante höher als in der UK (</w:t>
      </w:r>
      <w:r w:rsidRPr="001D3CB3">
        <w:rPr>
          <w:color w:val="auto"/>
        </w:rPr>
        <w:fldChar w:fldCharType="begin"/>
      </w:r>
      <w:r w:rsidRPr="001D3CB3">
        <w:rPr>
          <w:color w:val="auto"/>
        </w:rPr>
        <w:instrText xml:space="preserve"> REF _Ref533058660 \h </w:instrText>
      </w:r>
      <w:r w:rsidR="00106B6D" w:rsidRPr="001D3CB3">
        <w:rPr>
          <w:color w:val="auto"/>
        </w:rPr>
        <w:instrText xml:space="preserve"> \* MERGEFORMAT </w:instrText>
      </w:r>
      <w:r w:rsidRPr="001D3CB3">
        <w:rPr>
          <w:color w:val="auto"/>
        </w:rPr>
      </w:r>
      <w:r w:rsidRPr="001D3CB3">
        <w:rPr>
          <w:color w:val="auto"/>
        </w:rPr>
        <w:fldChar w:fldCharType="separate"/>
      </w:r>
      <w:r w:rsidR="00106B6D" w:rsidRPr="001D3CB3">
        <w:t xml:space="preserve">Abbildung </w:t>
      </w:r>
      <w:r w:rsidR="00106B6D" w:rsidRPr="001D3CB3">
        <w:rPr>
          <w:noProof/>
        </w:rPr>
        <w:t>25</w:t>
      </w:r>
      <w:r w:rsidRPr="001D3CB3">
        <w:rPr>
          <w:color w:val="auto"/>
        </w:rPr>
        <w:fldChar w:fldCharType="end"/>
      </w:r>
      <w:r w:rsidRPr="001D3CB3">
        <w:rPr>
          <w:color w:val="auto"/>
        </w:rPr>
        <w:t>).</w:t>
      </w:r>
    </w:p>
    <w:p w:rsidR="00402D84" w:rsidRDefault="00402D84" w:rsidP="00402D84">
      <w:pPr>
        <w:pStyle w:val="Flietext"/>
      </w:pPr>
      <w:r>
        <w:rPr>
          <w:noProof/>
          <w:lang w:eastAsia="de-AT"/>
        </w:rPr>
        <w:drawing>
          <wp:inline distT="0" distB="0" distL="0" distR="0" wp14:anchorId="0421D959" wp14:editId="219BD42C">
            <wp:extent cx="2971800" cy="2743200"/>
            <wp:effectExtent l="0" t="0" r="0" b="0"/>
            <wp:docPr id="9270" name="Diagramm 9270" title="Käfer in Trichterfalle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Pr>
          <w:noProof/>
          <w:lang w:eastAsia="de-AT"/>
        </w:rPr>
        <w:drawing>
          <wp:inline distT="0" distB="0" distL="0" distR="0" wp14:anchorId="72274F3C" wp14:editId="691793ED">
            <wp:extent cx="2819400" cy="2743200"/>
            <wp:effectExtent l="0" t="0" r="0" b="0"/>
            <wp:docPr id="9271" name="Diagramm 9271" title="Käfer in Trichterfallen mit Insektizid"/>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402D84" w:rsidRPr="0058595C" w:rsidRDefault="00402D84" w:rsidP="00402D84">
      <w:pPr>
        <w:pStyle w:val="Beschriftung"/>
      </w:pPr>
      <w:bookmarkStart w:id="150" w:name="_Ref533058660"/>
      <w:bookmarkStart w:id="151" w:name="_Toc533059390"/>
      <w:bookmarkStart w:id="152" w:name="_Toc7715414"/>
      <w:r>
        <w:t xml:space="preserve">Abbildung </w:t>
      </w:r>
      <w:r>
        <w:rPr>
          <w:noProof/>
        </w:rPr>
        <w:fldChar w:fldCharType="begin"/>
      </w:r>
      <w:r>
        <w:rPr>
          <w:noProof/>
        </w:rPr>
        <w:instrText xml:space="preserve"> SEQ Abbildung \* ARABIC </w:instrText>
      </w:r>
      <w:r>
        <w:rPr>
          <w:noProof/>
        </w:rPr>
        <w:fldChar w:fldCharType="separate"/>
      </w:r>
      <w:r w:rsidR="00106B6D">
        <w:rPr>
          <w:noProof/>
        </w:rPr>
        <w:t>25</w:t>
      </w:r>
      <w:r>
        <w:rPr>
          <w:noProof/>
        </w:rPr>
        <w:fldChar w:fldCharType="end"/>
      </w:r>
      <w:bookmarkEnd w:id="150"/>
      <w:r w:rsidRPr="0058595C">
        <w:t>: Käferfänge in Trichterfallen mit Leimring (links) und mit Insektizid (rechts)</w:t>
      </w:r>
      <w:bookmarkEnd w:id="151"/>
      <w:bookmarkEnd w:id="152"/>
    </w:p>
    <w:p w:rsidR="00402D84" w:rsidRPr="00463B86" w:rsidRDefault="00402D84" w:rsidP="00402D84">
      <w:pPr>
        <w:pStyle w:val="12Unterkapitel"/>
        <w:numPr>
          <w:ilvl w:val="3"/>
          <w:numId w:val="3"/>
        </w:numPr>
        <w:ind w:left="864"/>
        <w:rPr>
          <w:rStyle w:val="Einleitung"/>
          <w:b w:val="0"/>
          <w:bCs w:val="0"/>
          <w:caps/>
        </w:rPr>
      </w:pPr>
      <w:bookmarkStart w:id="153" w:name="_Toc533059349"/>
      <w:bookmarkStart w:id="154" w:name="_Toc7715590"/>
      <w:r>
        <w:t>Käfer pro Pflanze</w:t>
      </w:r>
      <w:bookmarkEnd w:id="153"/>
      <w:bookmarkEnd w:id="154"/>
    </w:p>
    <w:p w:rsidR="00402D84" w:rsidRPr="00020166" w:rsidRDefault="00402D84" w:rsidP="00106B6D">
      <w:pPr>
        <w:pStyle w:val="Flietext"/>
        <w:jc w:val="both"/>
        <w:rPr>
          <w:color w:val="auto"/>
        </w:rPr>
      </w:pPr>
      <w:r w:rsidRPr="00020166">
        <w:rPr>
          <w:color w:val="auto"/>
        </w:rPr>
        <w:t>Tendenziell lag zu Beginn und zum Ende des Käferschlupfes</w:t>
      </w:r>
      <w:r w:rsidRPr="00020166">
        <w:rPr>
          <w:b/>
          <w:color w:val="auto"/>
        </w:rPr>
        <w:t xml:space="preserve"> </w:t>
      </w:r>
      <w:r w:rsidRPr="00020166">
        <w:rPr>
          <w:color w:val="auto"/>
        </w:rPr>
        <w:t>die Anzahl der</w:t>
      </w:r>
      <w:r w:rsidRPr="00020166">
        <w:rPr>
          <w:b/>
          <w:color w:val="auto"/>
        </w:rPr>
        <w:t xml:space="preserve"> Käfer pro Pflanze </w:t>
      </w:r>
      <w:r w:rsidRPr="00020166">
        <w:rPr>
          <w:color w:val="auto"/>
        </w:rPr>
        <w:t xml:space="preserve">in den behandelten Varianten unter jener der UK. Alle behandelten </w:t>
      </w:r>
      <w:r w:rsidRPr="001D3CB3">
        <w:rPr>
          <w:color w:val="auto"/>
        </w:rPr>
        <w:t>Varianten zeigten einen vergleichbaren Schlupfverlauf mit einem deutlichen Peak in der dritten Schlupfwoche gefolgt von einem Rückgang der Käfersichtungen in den Folgewochen. In der UK waren die Käfer länger zu beobachten (</w:t>
      </w:r>
      <w:r w:rsidRPr="001D3CB3">
        <w:rPr>
          <w:color w:val="auto"/>
        </w:rPr>
        <w:fldChar w:fldCharType="begin"/>
      </w:r>
      <w:r w:rsidRPr="001D3CB3">
        <w:rPr>
          <w:color w:val="auto"/>
        </w:rPr>
        <w:instrText xml:space="preserve"> REF _Ref533058685 \h </w:instrText>
      </w:r>
      <w:r w:rsidR="00106B6D" w:rsidRPr="001D3CB3">
        <w:rPr>
          <w:color w:val="auto"/>
        </w:rPr>
        <w:instrText xml:space="preserve"> \* MERGEFORMAT </w:instrText>
      </w:r>
      <w:r w:rsidRPr="001D3CB3">
        <w:rPr>
          <w:color w:val="auto"/>
        </w:rPr>
      </w:r>
      <w:r w:rsidRPr="001D3CB3">
        <w:rPr>
          <w:color w:val="auto"/>
        </w:rPr>
        <w:fldChar w:fldCharType="separate"/>
      </w:r>
      <w:r w:rsidR="00106B6D" w:rsidRPr="001D3CB3">
        <w:t xml:space="preserve">Abbildung </w:t>
      </w:r>
      <w:r w:rsidR="00106B6D" w:rsidRPr="001D3CB3">
        <w:rPr>
          <w:noProof/>
        </w:rPr>
        <w:t>26</w:t>
      </w:r>
      <w:r w:rsidRPr="001D3CB3">
        <w:rPr>
          <w:color w:val="auto"/>
        </w:rPr>
        <w:fldChar w:fldCharType="end"/>
      </w:r>
      <w:r w:rsidRPr="001D3CB3">
        <w:rPr>
          <w:color w:val="auto"/>
        </w:rPr>
        <w:t xml:space="preserve">). </w:t>
      </w:r>
      <w:r w:rsidRPr="001D3CB3">
        <w:rPr>
          <w:noProof/>
          <w:color w:val="auto"/>
          <w:lang w:eastAsia="de-AT"/>
        </w:rPr>
        <w:t>Der starke Rückgang der gezählten Käfer pro Pflanze Anfang August lässt sich mit der Tatsache erklären, dass</w:t>
      </w:r>
      <w:r w:rsidRPr="00020166">
        <w:rPr>
          <w:noProof/>
          <w:color w:val="auto"/>
          <w:lang w:eastAsia="de-AT"/>
        </w:rPr>
        <w:t xml:space="preserve"> sich die Käfer nach der Blüte oft unter den abgestorbenen </w:t>
      </w:r>
      <w:r w:rsidR="00106B6D">
        <w:rPr>
          <w:noProof/>
          <w:color w:val="auto"/>
          <w:lang w:eastAsia="de-AT"/>
        </w:rPr>
        <w:t>Befruchtungsfäden am Kolben und</w:t>
      </w:r>
      <w:r w:rsidRPr="00020166">
        <w:rPr>
          <w:noProof/>
          <w:color w:val="auto"/>
          <w:lang w:eastAsia="de-AT"/>
        </w:rPr>
        <w:t xml:space="preserve"> in den Blattachseln verstecken und auch bei </w:t>
      </w:r>
      <w:r>
        <w:rPr>
          <w:noProof/>
          <w:color w:val="auto"/>
          <w:lang w:eastAsia="de-AT"/>
        </w:rPr>
        <w:t>S</w:t>
      </w:r>
      <w:r w:rsidRPr="00020166">
        <w:rPr>
          <w:noProof/>
          <w:color w:val="auto"/>
          <w:lang w:eastAsia="de-AT"/>
        </w:rPr>
        <w:t>chütteln der Pflanze nicht ihr Versteck verlassen. Die Zählungen umfassen immer nur die frei sichtbaren Käfer pro Pflanze.</w:t>
      </w:r>
    </w:p>
    <w:p w:rsidR="00106B6D" w:rsidRDefault="00402D84" w:rsidP="00402D84">
      <w:pPr>
        <w:pStyle w:val="Flietext"/>
      </w:pPr>
      <w:r>
        <w:rPr>
          <w:noProof/>
          <w:lang w:eastAsia="de-AT"/>
        </w:rPr>
        <w:drawing>
          <wp:anchor distT="0" distB="0" distL="114300" distR="114300" simplePos="0" relativeHeight="251808256" behindDoc="1" locked="0" layoutInCell="1" allowOverlap="1" wp14:anchorId="4876DF9C" wp14:editId="3D5C94C5">
            <wp:simplePos x="0" y="0"/>
            <wp:positionH relativeFrom="column">
              <wp:posOffset>-2540</wp:posOffset>
            </wp:positionH>
            <wp:positionV relativeFrom="paragraph">
              <wp:posOffset>27305</wp:posOffset>
            </wp:positionV>
            <wp:extent cx="5443220" cy="2371725"/>
            <wp:effectExtent l="0" t="0" r="5080" b="9525"/>
            <wp:wrapTight wrapText="bothSides">
              <wp:wrapPolygon edited="0">
                <wp:start x="0" y="0"/>
                <wp:lineTo x="0" y="21513"/>
                <wp:lineTo x="21545" y="21513"/>
                <wp:lineTo x="21545" y="0"/>
                <wp:lineTo x="0" y="0"/>
              </wp:wrapPolygon>
            </wp:wrapTight>
            <wp:docPr id="9272" name="Diagramm 9272" title="Käfer pro Pflanze"/>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p>
    <w:p w:rsidR="00106B6D" w:rsidRDefault="00106B6D" w:rsidP="00106B6D">
      <w:pPr>
        <w:pStyle w:val="Beschriftung"/>
      </w:pPr>
      <w:bookmarkStart w:id="155" w:name="_Ref533058685"/>
      <w:bookmarkStart w:id="156" w:name="_Toc533059391"/>
      <w:bookmarkStart w:id="157" w:name="_Toc7715415"/>
      <w:r>
        <w:t xml:space="preserve">Abbildung </w:t>
      </w:r>
      <w:r>
        <w:rPr>
          <w:noProof/>
        </w:rPr>
        <w:fldChar w:fldCharType="begin"/>
      </w:r>
      <w:r>
        <w:rPr>
          <w:noProof/>
        </w:rPr>
        <w:instrText xml:space="preserve"> SEQ Abbildung \* ARABIC </w:instrText>
      </w:r>
      <w:r>
        <w:rPr>
          <w:noProof/>
        </w:rPr>
        <w:fldChar w:fldCharType="separate"/>
      </w:r>
      <w:r>
        <w:rPr>
          <w:noProof/>
        </w:rPr>
        <w:t>26</w:t>
      </w:r>
      <w:r>
        <w:rPr>
          <w:noProof/>
        </w:rPr>
        <w:fldChar w:fldCharType="end"/>
      </w:r>
      <w:bookmarkEnd w:id="155"/>
      <w:r>
        <w:t>: Käfer pro Pflanze</w:t>
      </w:r>
      <w:bookmarkEnd w:id="156"/>
      <w:bookmarkEnd w:id="157"/>
    </w:p>
    <w:p w:rsidR="00106B6D" w:rsidRDefault="00106B6D" w:rsidP="00402D84">
      <w:pPr>
        <w:pStyle w:val="Flietext"/>
      </w:pPr>
    </w:p>
    <w:p w:rsidR="00402D84" w:rsidRPr="002034DC" w:rsidRDefault="00402D84" w:rsidP="00402D84">
      <w:pPr>
        <w:pStyle w:val="12Unterkapitel"/>
        <w:numPr>
          <w:ilvl w:val="3"/>
          <w:numId w:val="3"/>
        </w:numPr>
        <w:ind w:left="864"/>
        <w:rPr>
          <w:rStyle w:val="Einleitung"/>
          <w:b w:val="0"/>
          <w:bCs w:val="0"/>
          <w:caps/>
        </w:rPr>
      </w:pPr>
      <w:bookmarkStart w:id="158" w:name="_Toc533059350"/>
      <w:bookmarkStart w:id="159" w:name="_Toc7715591"/>
      <w:r>
        <w:t>Lagerung</w:t>
      </w:r>
      <w:bookmarkEnd w:id="158"/>
      <w:bookmarkEnd w:id="159"/>
    </w:p>
    <w:p w:rsidR="00402D84" w:rsidRPr="00106B6D" w:rsidRDefault="00402D84" w:rsidP="00106B6D">
      <w:pPr>
        <w:pStyle w:val="Flietext"/>
        <w:jc w:val="both"/>
        <w:rPr>
          <w:color w:val="auto"/>
        </w:rPr>
      </w:pPr>
      <w:r w:rsidRPr="00020166">
        <w:rPr>
          <w:color w:val="auto"/>
        </w:rPr>
        <w:t xml:space="preserve">Die </w:t>
      </w:r>
      <w:r w:rsidRPr="00020166">
        <w:rPr>
          <w:b/>
          <w:color w:val="auto"/>
        </w:rPr>
        <w:t>Lagerungs-/Schwanenhalsbonitur</w:t>
      </w:r>
      <w:r w:rsidRPr="00020166">
        <w:rPr>
          <w:color w:val="auto"/>
        </w:rPr>
        <w:t xml:space="preserve"> nach Foltin et al. (2014) zeigte </w:t>
      </w:r>
      <w:r>
        <w:rPr>
          <w:color w:val="auto"/>
        </w:rPr>
        <w:t xml:space="preserve">eine </w:t>
      </w:r>
      <w:r w:rsidRPr="001D3CB3">
        <w:rPr>
          <w:color w:val="auto"/>
        </w:rPr>
        <w:t>um 60% geringere Lagerung in der Dianem-Variante, sowie eine um 34 % geringere Lagerung der Variante Dianem + Rhizovital gegenüber der UK. In der Positivkontrolle Belem lagerten um 46 % weniger Pflanzen als n der UK (</w:t>
      </w:r>
      <w:r w:rsidRPr="001D3CB3">
        <w:rPr>
          <w:color w:val="auto"/>
        </w:rPr>
        <w:fldChar w:fldCharType="begin"/>
      </w:r>
      <w:r w:rsidRPr="001D3CB3">
        <w:rPr>
          <w:color w:val="auto"/>
        </w:rPr>
        <w:instrText xml:space="preserve"> REF _Ref533058703 \h </w:instrText>
      </w:r>
      <w:r w:rsidR="00106B6D" w:rsidRPr="001D3CB3">
        <w:rPr>
          <w:color w:val="auto"/>
        </w:rPr>
        <w:instrText xml:space="preserve"> \* MERGEFORMAT </w:instrText>
      </w:r>
      <w:r w:rsidRPr="001D3CB3">
        <w:rPr>
          <w:color w:val="auto"/>
        </w:rPr>
      </w:r>
      <w:r w:rsidRPr="001D3CB3">
        <w:rPr>
          <w:color w:val="auto"/>
        </w:rPr>
        <w:fldChar w:fldCharType="separate"/>
      </w:r>
      <w:r w:rsidR="00106B6D" w:rsidRPr="001D3CB3">
        <w:t xml:space="preserve">Abbildung </w:t>
      </w:r>
      <w:r w:rsidR="00106B6D" w:rsidRPr="001D3CB3">
        <w:rPr>
          <w:noProof/>
        </w:rPr>
        <w:t>27</w:t>
      </w:r>
      <w:r w:rsidRPr="001D3CB3">
        <w:rPr>
          <w:color w:val="auto"/>
        </w:rPr>
        <w:fldChar w:fldCharType="end"/>
      </w:r>
      <w:r w:rsidRPr="001D3CB3">
        <w:rPr>
          <w:color w:val="auto"/>
        </w:rPr>
        <w:t>).</w:t>
      </w:r>
      <w:r w:rsidRPr="003D69F7">
        <w:rPr>
          <w:color w:val="auto"/>
        </w:rPr>
        <w:t xml:space="preserve"> </w:t>
      </w:r>
    </w:p>
    <w:p w:rsidR="00402D84" w:rsidRDefault="00402D84" w:rsidP="00402D84">
      <w:pPr>
        <w:pStyle w:val="Flietext"/>
        <w:rPr>
          <w:lang w:eastAsia="en-GB"/>
        </w:rPr>
      </w:pPr>
      <w:r>
        <w:rPr>
          <w:noProof/>
          <w:lang w:eastAsia="de-AT"/>
        </w:rPr>
        <w:drawing>
          <wp:inline distT="0" distB="0" distL="0" distR="0" wp14:anchorId="37888BD1" wp14:editId="0C68B4BC">
            <wp:extent cx="5772150" cy="2743200"/>
            <wp:effectExtent l="0" t="0" r="0" b="0"/>
            <wp:docPr id="9273" name="Diagramm 9273" title="Lagerung nach Folt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402D84" w:rsidRPr="004D7C8F" w:rsidRDefault="00402D84" w:rsidP="00402D84">
      <w:pPr>
        <w:pStyle w:val="Beschriftung"/>
        <w:rPr>
          <w:color w:val="auto"/>
          <w:lang w:eastAsia="en-GB"/>
        </w:rPr>
      </w:pPr>
      <w:bookmarkStart w:id="160" w:name="_Ref533058703"/>
      <w:bookmarkStart w:id="161" w:name="_Toc533059392"/>
      <w:bookmarkStart w:id="162" w:name="_Toc7715416"/>
      <w:r>
        <w:t xml:space="preserve">Abbildung </w:t>
      </w:r>
      <w:r>
        <w:rPr>
          <w:noProof/>
        </w:rPr>
        <w:fldChar w:fldCharType="begin"/>
      </w:r>
      <w:r>
        <w:rPr>
          <w:noProof/>
        </w:rPr>
        <w:instrText xml:space="preserve"> SEQ Abbildung \* ARABIC </w:instrText>
      </w:r>
      <w:r>
        <w:rPr>
          <w:noProof/>
        </w:rPr>
        <w:fldChar w:fldCharType="separate"/>
      </w:r>
      <w:r w:rsidR="00106B6D">
        <w:rPr>
          <w:noProof/>
        </w:rPr>
        <w:t>27</w:t>
      </w:r>
      <w:r>
        <w:rPr>
          <w:noProof/>
        </w:rPr>
        <w:fldChar w:fldCharType="end"/>
      </w:r>
      <w:bookmarkEnd w:id="160"/>
      <w:r>
        <w:t xml:space="preserve">: </w:t>
      </w:r>
      <w:r w:rsidRPr="0058595C">
        <w:t xml:space="preserve">Lagerungsbonitur nach Foltin </w:t>
      </w:r>
      <w:r w:rsidRPr="004D7C8F">
        <w:rPr>
          <w:color w:val="auto"/>
        </w:rPr>
        <w:t>et al.</w:t>
      </w:r>
      <w:bookmarkEnd w:id="161"/>
      <w:bookmarkEnd w:id="162"/>
    </w:p>
    <w:p w:rsidR="00402D84" w:rsidRPr="004D7C8F" w:rsidRDefault="00402D84" w:rsidP="00402D84">
      <w:pPr>
        <w:pStyle w:val="12Unterkapitel"/>
        <w:numPr>
          <w:ilvl w:val="3"/>
          <w:numId w:val="3"/>
        </w:numPr>
        <w:ind w:left="864"/>
        <w:rPr>
          <w:rStyle w:val="Einleitung"/>
          <w:b w:val="0"/>
          <w:bCs w:val="0"/>
          <w:caps/>
          <w:color w:val="auto"/>
        </w:rPr>
      </w:pPr>
      <w:bookmarkStart w:id="163" w:name="_Toc533059351"/>
      <w:bookmarkStart w:id="164" w:name="_Toc7715592"/>
      <w:r w:rsidRPr="004D7C8F">
        <w:rPr>
          <w:color w:val="auto"/>
        </w:rPr>
        <w:t>Schabefra</w:t>
      </w:r>
      <w:bookmarkEnd w:id="163"/>
      <w:r w:rsidR="004D7C8F" w:rsidRPr="004D7C8F">
        <w:rPr>
          <w:color w:val="auto"/>
        </w:rPr>
        <w:t>ss</w:t>
      </w:r>
      <w:bookmarkEnd w:id="164"/>
    </w:p>
    <w:p w:rsidR="00402D84" w:rsidRPr="00106B6D" w:rsidRDefault="00402D84" w:rsidP="009D11E9">
      <w:pPr>
        <w:pStyle w:val="Flietext"/>
        <w:jc w:val="both"/>
        <w:rPr>
          <w:color w:val="auto"/>
        </w:rPr>
      </w:pPr>
      <w:r w:rsidRPr="006134B2">
        <w:rPr>
          <w:color w:val="auto"/>
        </w:rPr>
        <w:t xml:space="preserve">Die Auswertung des </w:t>
      </w:r>
      <w:r w:rsidRPr="006134B2">
        <w:rPr>
          <w:b/>
          <w:color w:val="auto"/>
        </w:rPr>
        <w:t>Schabefraßes des Blattes</w:t>
      </w:r>
      <w:r w:rsidRPr="006134B2">
        <w:rPr>
          <w:color w:val="auto"/>
        </w:rPr>
        <w:t xml:space="preserve"> zeigte bis Mitte August (7 Wochen nach Schlupfbeginn) ca. 1% geschädigte Blattfläche in allen Varianten. Erst kurz vor der Ernte </w:t>
      </w:r>
      <w:r w:rsidRPr="001D3CB3">
        <w:rPr>
          <w:color w:val="auto"/>
        </w:rPr>
        <w:t>waren stärkere Schäden sichtbar, wobei die Blätter oberhalb der Kolben stärker betroffen waren als jene darunter (</w:t>
      </w:r>
      <w:r w:rsidRPr="001D3CB3">
        <w:rPr>
          <w:color w:val="auto"/>
        </w:rPr>
        <w:fldChar w:fldCharType="begin"/>
      </w:r>
      <w:r w:rsidRPr="001D3CB3">
        <w:rPr>
          <w:color w:val="auto"/>
        </w:rPr>
        <w:instrText xml:space="preserve"> REF _Ref533058741 \h </w:instrText>
      </w:r>
      <w:r w:rsidR="009D11E9" w:rsidRPr="001D3CB3">
        <w:rPr>
          <w:color w:val="auto"/>
        </w:rPr>
        <w:instrText xml:space="preserve"> \* MERGEFORMAT </w:instrText>
      </w:r>
      <w:r w:rsidRPr="001D3CB3">
        <w:rPr>
          <w:color w:val="auto"/>
        </w:rPr>
      </w:r>
      <w:r w:rsidRPr="001D3CB3">
        <w:rPr>
          <w:color w:val="auto"/>
        </w:rPr>
        <w:fldChar w:fldCharType="separate"/>
      </w:r>
      <w:r w:rsidR="004C50FF" w:rsidRPr="001D3CB3">
        <w:t xml:space="preserve">Abbildung </w:t>
      </w:r>
      <w:r w:rsidR="004C50FF" w:rsidRPr="001D3CB3">
        <w:rPr>
          <w:noProof/>
        </w:rPr>
        <w:t>28</w:t>
      </w:r>
      <w:r w:rsidRPr="001D3CB3">
        <w:rPr>
          <w:color w:val="auto"/>
        </w:rPr>
        <w:fldChar w:fldCharType="end"/>
      </w:r>
      <w:r w:rsidRPr="001D3CB3">
        <w:rPr>
          <w:color w:val="auto"/>
        </w:rPr>
        <w:t>). Da</w:t>
      </w:r>
      <w:r>
        <w:rPr>
          <w:color w:val="auto"/>
        </w:rPr>
        <w:t xml:space="preserve"> zu diesem Zeitpunkt die Kolben bereits ausgereift waren, hatte der Schabefraß in diesem Fall bzw. Jahr keinen Einfluss auf die Fruchtentwicklung und den Ernteertrag. In der Varianten Dianem + Rhizovital war der Schabefraß am geringsten ausgeprägt.</w:t>
      </w:r>
    </w:p>
    <w:p w:rsidR="00402D84" w:rsidRDefault="00402D84" w:rsidP="00402D84">
      <w:pPr>
        <w:pStyle w:val="Flietext"/>
        <w:rPr>
          <w14:textFill>
            <w14:solidFill>
              <w14:srgbClr w14:val="000000">
                <w14:alpha w14:val="100000"/>
              </w14:srgbClr>
            </w14:solidFill>
          </w14:textFill>
        </w:rPr>
      </w:pPr>
      <w:r>
        <w:rPr>
          <w:noProof/>
          <w:lang w:eastAsia="de-AT"/>
        </w:rPr>
        <w:drawing>
          <wp:inline distT="0" distB="0" distL="0" distR="0" wp14:anchorId="27EA41AD" wp14:editId="60E65839">
            <wp:extent cx="5686425" cy="2743200"/>
            <wp:effectExtent l="0" t="0" r="9525" b="0"/>
            <wp:docPr id="9274" name="Diagramm 9274" title="Schabefraß durch Käfe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402D84" w:rsidRPr="009D11E9" w:rsidRDefault="00402D84" w:rsidP="00402D84">
      <w:pPr>
        <w:pStyle w:val="Beschriftung"/>
        <w:rPr>
          <w:color w:val="auto"/>
        </w:rPr>
      </w:pPr>
      <w:bookmarkStart w:id="165" w:name="_Ref533058741"/>
      <w:bookmarkStart w:id="166" w:name="_Toc533059393"/>
      <w:bookmarkStart w:id="167" w:name="_Toc7715417"/>
      <w:r>
        <w:t xml:space="preserve">Abbildung </w:t>
      </w:r>
      <w:r>
        <w:rPr>
          <w:noProof/>
        </w:rPr>
        <w:fldChar w:fldCharType="begin"/>
      </w:r>
      <w:r>
        <w:rPr>
          <w:noProof/>
        </w:rPr>
        <w:instrText xml:space="preserve"> SEQ Abbildung \* ARABIC </w:instrText>
      </w:r>
      <w:r>
        <w:rPr>
          <w:noProof/>
        </w:rPr>
        <w:fldChar w:fldCharType="separate"/>
      </w:r>
      <w:r w:rsidR="00106B6D">
        <w:rPr>
          <w:noProof/>
        </w:rPr>
        <w:t>28</w:t>
      </w:r>
      <w:r>
        <w:rPr>
          <w:noProof/>
        </w:rPr>
        <w:fldChar w:fldCharType="end"/>
      </w:r>
      <w:bookmarkEnd w:id="165"/>
      <w:r>
        <w:t xml:space="preserve">: </w:t>
      </w:r>
      <w:r w:rsidRPr="0058595C">
        <w:t>Schabefraß in Prozent der Blattfläche jeweils ober und unter dem Kolben ausgewertet</w:t>
      </w:r>
      <w:bookmarkEnd w:id="166"/>
      <w:bookmarkEnd w:id="167"/>
    </w:p>
    <w:p w:rsidR="00402D84" w:rsidRPr="009D11E9" w:rsidRDefault="00402D84" w:rsidP="00402D84">
      <w:pPr>
        <w:pStyle w:val="Flietext"/>
        <w:rPr>
          <w:color w:val="auto"/>
        </w:rPr>
      </w:pPr>
    </w:p>
    <w:p w:rsidR="00402D84" w:rsidRPr="002034DC" w:rsidRDefault="00402D84" w:rsidP="00402D84">
      <w:pPr>
        <w:pStyle w:val="12Unterkapitel"/>
        <w:numPr>
          <w:ilvl w:val="3"/>
          <w:numId w:val="3"/>
        </w:numPr>
        <w:ind w:left="864"/>
        <w:rPr>
          <w:rStyle w:val="Einleitung"/>
          <w:b w:val="0"/>
          <w:bCs w:val="0"/>
          <w:caps/>
        </w:rPr>
      </w:pPr>
      <w:bookmarkStart w:id="168" w:name="_Toc533059352"/>
      <w:bookmarkStart w:id="169" w:name="_Toc7715593"/>
      <w:r>
        <w:t>Ernteertrag</w:t>
      </w:r>
      <w:bookmarkEnd w:id="168"/>
      <w:bookmarkEnd w:id="169"/>
    </w:p>
    <w:p w:rsidR="00402D84" w:rsidRPr="007B4364" w:rsidRDefault="00402D84" w:rsidP="00951B4C">
      <w:pPr>
        <w:jc w:val="both"/>
      </w:pPr>
      <w:r w:rsidRPr="007B4364">
        <w:t xml:space="preserve">Die </w:t>
      </w:r>
      <w:r w:rsidRPr="007B4364">
        <w:rPr>
          <w:b/>
        </w:rPr>
        <w:t xml:space="preserve">Erntewerte </w:t>
      </w:r>
      <w:r w:rsidRPr="007B4364">
        <w:t xml:space="preserve">aller Varianten unterscheiden sich signifikant. Die Erntewerte in der chemischen Variante Belem waren am niedrigsten. Sie lagen durchschnittlich bei 96 % der UK, was möglicherweise auf einen negativen Einfluss des </w:t>
      </w:r>
      <w:r w:rsidRPr="001D3CB3">
        <w:t>Insektizids auf die Kultur zurückzuführen ist. Der relative Ertrag (im Bezug zum Mittel aller Varianten) betrug in der Variante Dianem 103,7 %, bei Dianem + Rhizovital 100,6 %, in der UK 99,7 % und für Belem 95,9 % (</w:t>
      </w:r>
      <w:r w:rsidRPr="001D3CB3">
        <w:fldChar w:fldCharType="begin"/>
      </w:r>
      <w:r w:rsidRPr="001D3CB3">
        <w:instrText xml:space="preserve"> REF _Ref533058786 \h </w:instrText>
      </w:r>
      <w:r w:rsidR="00951B4C" w:rsidRPr="001D3CB3">
        <w:instrText xml:space="preserve"> \* MERGEFORMAT </w:instrText>
      </w:r>
      <w:r w:rsidRPr="001D3CB3">
        <w:fldChar w:fldCharType="separate"/>
      </w:r>
      <w:r w:rsidR="00951B4C" w:rsidRPr="001D3CB3">
        <w:t xml:space="preserve">Abbildung </w:t>
      </w:r>
      <w:r w:rsidR="00951B4C" w:rsidRPr="001D3CB3">
        <w:rPr>
          <w:noProof/>
        </w:rPr>
        <w:t>29</w:t>
      </w:r>
      <w:r w:rsidRPr="001D3CB3">
        <w:fldChar w:fldCharType="end"/>
      </w:r>
      <w:r w:rsidRPr="001D3CB3">
        <w:t>).</w:t>
      </w:r>
    </w:p>
    <w:p w:rsidR="00402D84" w:rsidRDefault="00402D84" w:rsidP="00402D84">
      <w:pPr>
        <w:pStyle w:val="Flietext"/>
        <w:rPr>
          <w:color w:val="auto"/>
        </w:rPr>
      </w:pPr>
      <w:r>
        <w:rPr>
          <w:noProof/>
          <w:lang w:eastAsia="de-AT"/>
        </w:rPr>
        <w:drawing>
          <wp:inline distT="0" distB="0" distL="0" distR="0" wp14:anchorId="7FD35C65" wp14:editId="6A8C78CA">
            <wp:extent cx="4572000" cy="2200275"/>
            <wp:effectExtent l="0" t="0" r="0" b="9525"/>
            <wp:docPr id="9275" name="Diagramm 9275" title="ha Ertrag trocke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402D84" w:rsidRPr="00951B4C" w:rsidRDefault="00402D84" w:rsidP="00402D84">
      <w:pPr>
        <w:pStyle w:val="Beschriftung"/>
        <w:rPr>
          <w:color w:val="auto"/>
        </w:rPr>
      </w:pPr>
      <w:bookmarkStart w:id="170" w:name="_Ref533058786"/>
      <w:bookmarkStart w:id="171" w:name="_Toc533059394"/>
      <w:bookmarkStart w:id="172" w:name="_Toc7715418"/>
      <w:r w:rsidRPr="00AB5729">
        <w:t xml:space="preserve">Abbildung </w:t>
      </w:r>
      <w:r>
        <w:rPr>
          <w:noProof/>
        </w:rPr>
        <w:fldChar w:fldCharType="begin"/>
      </w:r>
      <w:r>
        <w:rPr>
          <w:noProof/>
        </w:rPr>
        <w:instrText xml:space="preserve"> SEQ Abbildung \* ARABIC </w:instrText>
      </w:r>
      <w:r>
        <w:rPr>
          <w:noProof/>
        </w:rPr>
        <w:fldChar w:fldCharType="separate"/>
      </w:r>
      <w:r w:rsidR="00951B4C">
        <w:rPr>
          <w:noProof/>
        </w:rPr>
        <w:t>29</w:t>
      </w:r>
      <w:r>
        <w:rPr>
          <w:noProof/>
        </w:rPr>
        <w:fldChar w:fldCharType="end"/>
      </w:r>
      <w:bookmarkEnd w:id="170"/>
      <w:r w:rsidRPr="00AB5729">
        <w:t>:</w:t>
      </w:r>
      <w:r w:rsidRPr="0058595C">
        <w:t xml:space="preserve"> Ernteertrag in den Varianten des Streifenversuches</w:t>
      </w:r>
      <w:bookmarkEnd w:id="171"/>
      <w:bookmarkEnd w:id="172"/>
    </w:p>
    <w:p w:rsidR="00402D84" w:rsidRPr="002034DC" w:rsidRDefault="00402D84" w:rsidP="00402D84">
      <w:pPr>
        <w:pStyle w:val="12Unterkapitel"/>
        <w:numPr>
          <w:ilvl w:val="3"/>
          <w:numId w:val="3"/>
        </w:numPr>
        <w:ind w:left="864"/>
        <w:rPr>
          <w:rStyle w:val="Einleitung"/>
          <w:b w:val="0"/>
          <w:bCs w:val="0"/>
          <w:caps/>
        </w:rPr>
      </w:pPr>
      <w:bookmarkStart w:id="173" w:name="_Toc533059353"/>
      <w:bookmarkStart w:id="174" w:name="_Toc7715594"/>
      <w:r>
        <w:t>Belegfotos</w:t>
      </w:r>
      <w:bookmarkEnd w:id="173"/>
      <w:bookmarkEnd w:id="174"/>
    </w:p>
    <w:p w:rsidR="00402D84" w:rsidRPr="00951B4C" w:rsidRDefault="00402D84" w:rsidP="00951B4C">
      <w:pPr>
        <w:pStyle w:val="Flietext"/>
        <w:jc w:val="both"/>
        <w:rPr>
          <w:color w:val="auto"/>
        </w:rPr>
      </w:pPr>
      <w:r w:rsidRPr="0082181C">
        <w:rPr>
          <w:color w:val="auto"/>
        </w:rPr>
        <w:t>Die</w:t>
      </w:r>
      <w:r w:rsidRPr="0082181C">
        <w:rPr>
          <w:b/>
          <w:color w:val="auto"/>
        </w:rPr>
        <w:t xml:space="preserve"> Drohnenfotos </w:t>
      </w:r>
      <w:r>
        <w:rPr>
          <w:color w:val="auto"/>
        </w:rPr>
        <w:t>belegen optisch die geringen</w:t>
      </w:r>
      <w:r w:rsidRPr="0082181C">
        <w:rPr>
          <w:color w:val="auto"/>
        </w:rPr>
        <w:t xml:space="preserve"> Unterschiede zwischen den beiden Dianem-Varianten (Dianem, Dianem + Rhizovital) und der Belemvariante</w:t>
      </w:r>
      <w:r>
        <w:rPr>
          <w:color w:val="auto"/>
        </w:rPr>
        <w:t xml:space="preserve">. </w:t>
      </w:r>
      <w:r w:rsidRPr="0082181C">
        <w:rPr>
          <w:color w:val="auto"/>
        </w:rPr>
        <w:t>Nur in der UK 2 ist eine stärkere Lagerung zu erkennen</w:t>
      </w:r>
      <w:r>
        <w:rPr>
          <w:color w:val="auto"/>
        </w:rPr>
        <w:t>.</w:t>
      </w:r>
    </w:p>
    <w:p w:rsidR="00402D84" w:rsidRDefault="00951B4C" w:rsidP="00402D84">
      <w:pPr>
        <w:pStyle w:val="Flietext"/>
        <w:rPr>
          <w:b/>
        </w:rPr>
      </w:pPr>
      <w:r>
        <w:rPr>
          <w:b/>
          <w:noProof/>
          <w:lang w:eastAsia="de-AT"/>
        </w:rPr>
        <w:drawing>
          <wp:inline distT="0" distB="0" distL="0" distR="0">
            <wp:extent cx="4640580" cy="3581400"/>
            <wp:effectExtent l="0" t="0" r="7620" b="0"/>
            <wp:docPr id="9276" name="Grafik 9276" title="Luftaufnahme Maisf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Unterschwarza_2016_Drohne.jpg"/>
                    <pic:cNvPicPr/>
                  </pic:nvPicPr>
                  <pic:blipFill>
                    <a:blip r:embed="rId72">
                      <a:extLst>
                        <a:ext uri="{28A0092B-C50C-407E-A947-70E740481C1C}">
                          <a14:useLocalDpi xmlns:a14="http://schemas.microsoft.com/office/drawing/2010/main" val="0"/>
                        </a:ext>
                      </a:extLst>
                    </a:blip>
                    <a:stretch>
                      <a:fillRect/>
                    </a:stretch>
                  </pic:blipFill>
                  <pic:spPr>
                    <a:xfrm>
                      <a:off x="0" y="0"/>
                      <a:ext cx="4640580" cy="3581400"/>
                    </a:xfrm>
                    <a:prstGeom prst="rect">
                      <a:avLst/>
                    </a:prstGeom>
                  </pic:spPr>
                </pic:pic>
              </a:graphicData>
            </a:graphic>
          </wp:inline>
        </w:drawing>
      </w:r>
    </w:p>
    <w:p w:rsidR="00951B4C" w:rsidRPr="0058595C" w:rsidRDefault="00951B4C" w:rsidP="00951B4C">
      <w:pPr>
        <w:pStyle w:val="Beschriftung"/>
      </w:pPr>
      <w:bookmarkStart w:id="175" w:name="_Toc533059395"/>
      <w:bookmarkStart w:id="176" w:name="_Toc7715419"/>
      <w:r>
        <w:t xml:space="preserve">Abbildung </w:t>
      </w:r>
      <w:r>
        <w:rPr>
          <w:noProof/>
        </w:rPr>
        <w:fldChar w:fldCharType="begin"/>
      </w:r>
      <w:r>
        <w:rPr>
          <w:noProof/>
        </w:rPr>
        <w:instrText xml:space="preserve"> SEQ Abbildung \* ARABIC </w:instrText>
      </w:r>
      <w:r>
        <w:rPr>
          <w:noProof/>
        </w:rPr>
        <w:fldChar w:fldCharType="separate"/>
      </w:r>
      <w:r>
        <w:rPr>
          <w:noProof/>
        </w:rPr>
        <w:t>30</w:t>
      </w:r>
      <w:r>
        <w:rPr>
          <w:noProof/>
        </w:rPr>
        <w:fldChar w:fldCharType="end"/>
      </w:r>
      <w:r w:rsidRPr="0058595C">
        <w:t>: Luftaufnahme des Streifenversuches mit Variantenbeschriftung (Ansicht von links in Richtung Westen)</w:t>
      </w:r>
      <w:bookmarkEnd w:id="175"/>
      <w:bookmarkEnd w:id="176"/>
    </w:p>
    <w:p w:rsidR="00951B4C" w:rsidRDefault="00951B4C" w:rsidP="00402D84">
      <w:pPr>
        <w:pStyle w:val="Flietext"/>
        <w:rPr>
          <w:b/>
        </w:rPr>
      </w:pPr>
    </w:p>
    <w:p w:rsidR="00402D84" w:rsidRDefault="00402D84" w:rsidP="00402D84">
      <w:pPr>
        <w:pStyle w:val="Flietext"/>
        <w:rPr>
          <w:b/>
        </w:rPr>
      </w:pPr>
      <w:r>
        <w:rPr>
          <w:b/>
          <w:noProof/>
          <w:lang w:eastAsia="de-AT"/>
        </w:rPr>
        <w:drawing>
          <wp:inline distT="0" distB="0" distL="0" distR="0" wp14:anchorId="705D8241" wp14:editId="4E5AECCD">
            <wp:extent cx="4667250" cy="4067698"/>
            <wp:effectExtent l="0" t="0" r="0" b="9525"/>
            <wp:docPr id="9277" name="Grafik 9277" title="Luftaufnahme Maisf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Unterschwarza_2016_Drohne02.jpg"/>
                    <pic:cNvPicPr/>
                  </pic:nvPicPr>
                  <pic:blipFill>
                    <a:blip r:embed="rId73">
                      <a:extLst>
                        <a:ext uri="{28A0092B-C50C-407E-A947-70E740481C1C}">
                          <a14:useLocalDpi xmlns:a14="http://schemas.microsoft.com/office/drawing/2010/main" val="0"/>
                        </a:ext>
                      </a:extLst>
                    </a:blip>
                    <a:stretch>
                      <a:fillRect/>
                    </a:stretch>
                  </pic:blipFill>
                  <pic:spPr>
                    <a:xfrm>
                      <a:off x="0" y="0"/>
                      <a:ext cx="4676033" cy="4075353"/>
                    </a:xfrm>
                    <a:prstGeom prst="rect">
                      <a:avLst/>
                    </a:prstGeom>
                  </pic:spPr>
                </pic:pic>
              </a:graphicData>
            </a:graphic>
          </wp:inline>
        </w:drawing>
      </w:r>
    </w:p>
    <w:p w:rsidR="00402D84" w:rsidRPr="0058595C" w:rsidRDefault="00402D84" w:rsidP="00402D84">
      <w:pPr>
        <w:pStyle w:val="Beschriftung"/>
        <w:rPr>
          <w:color w:val="auto"/>
        </w:rPr>
      </w:pPr>
      <w:bookmarkStart w:id="177" w:name="_Toc533059396"/>
      <w:bookmarkStart w:id="178" w:name="_Toc7715420"/>
      <w:r w:rsidRPr="0058595C">
        <w:rPr>
          <w:color w:val="auto"/>
        </w:rPr>
        <w:t xml:space="preserve">Abbildung </w:t>
      </w:r>
      <w:r w:rsidRPr="0058595C">
        <w:rPr>
          <w:noProof/>
          <w:color w:val="auto"/>
        </w:rPr>
        <w:fldChar w:fldCharType="begin"/>
      </w:r>
      <w:r w:rsidRPr="0058595C">
        <w:rPr>
          <w:noProof/>
          <w:color w:val="auto"/>
        </w:rPr>
        <w:instrText xml:space="preserve"> SEQ Abbildung \* ARABIC </w:instrText>
      </w:r>
      <w:r w:rsidRPr="0058595C">
        <w:rPr>
          <w:noProof/>
          <w:color w:val="auto"/>
        </w:rPr>
        <w:fldChar w:fldCharType="separate"/>
      </w:r>
      <w:r w:rsidR="00951B4C">
        <w:rPr>
          <w:noProof/>
          <w:color w:val="auto"/>
        </w:rPr>
        <w:t>31</w:t>
      </w:r>
      <w:r w:rsidRPr="0058595C">
        <w:rPr>
          <w:noProof/>
          <w:color w:val="auto"/>
        </w:rPr>
        <w:fldChar w:fldCharType="end"/>
      </w:r>
      <w:r w:rsidRPr="0058595C">
        <w:rPr>
          <w:color w:val="auto"/>
        </w:rPr>
        <w:t>: Luftaufnahme des Streifenversuches mit Variantenbeschriftung (Ansicht von rechts in Richtung Westen)</w:t>
      </w:r>
      <w:bookmarkEnd w:id="177"/>
      <w:bookmarkEnd w:id="178"/>
    </w:p>
    <w:p w:rsidR="00402D84" w:rsidRPr="00951B4C" w:rsidRDefault="00402D84" w:rsidP="00951B4C">
      <w:pPr>
        <w:pStyle w:val="Flietext"/>
        <w:jc w:val="both"/>
        <w:rPr>
          <w:color w:val="auto"/>
          <w:lang w:eastAsia="de-DE"/>
        </w:rPr>
      </w:pPr>
      <w:r w:rsidRPr="00951B4C">
        <w:rPr>
          <w:color w:val="auto"/>
        </w:rPr>
        <w:t xml:space="preserve">Mit Ausnahme der *Trichterfallen* und der *Anzahl der Käfer pro Pflanze*, in denen Unregelmäßigkeiten der behandelten Varianten zur unbehandelten Kontrolle auftraten, zeigten sämtliche getesteten Auswertungsmethoden gut vergleichbare Ergebnisse, die eine gute Wirkung der Nematodenbehandlung belegten. Am aussagekräftigsten waren die Werte der Photoeklektoren und der Lagerungsbonitur. Erstere zeigt das tatsächliche Bild des Käferschlupfes aus der Erde. Zwar ist deren Installation am aufwändigsten, jedoch die Auswertung relativ einfach und schnell. Zweitere war ohne Hilfsmittel und schnell durchzuführen und zeigt eine gute Korrelation mit dem Ernteertrag. Beide Methoden kommen bei den Versuchen des Folgejahres 2017 zum Einsatz. Zusätzlich wird der Käferflug mit transparenten PAL-Klebetafeln überwacht. Da der Einsatz des </w:t>
      </w:r>
      <w:r w:rsidRPr="00951B4C">
        <w:rPr>
          <w:color w:val="auto"/>
          <w:lang w:eastAsia="de-DE"/>
        </w:rPr>
        <w:t xml:space="preserve">biologischen Bodenhilfsstoffes Rhizovital®42 flüssig keine Reduktion des Käferschlupfes und der Lagerung bzw. eine Erhöhung des Erntewertes gegenüber der Variante Dianem ergab, wird dieser Versuchsansatz im zweiten Versuchsjahr nicht widerholt. </w:t>
      </w:r>
    </w:p>
    <w:p w:rsidR="00402D84" w:rsidRDefault="00402D84" w:rsidP="00402D84">
      <w:pPr>
        <w:pStyle w:val="11Unterkapitel"/>
        <w:ind w:left="720"/>
      </w:pPr>
      <w:bookmarkStart w:id="179" w:name="_Toc533059355"/>
      <w:bookmarkStart w:id="180" w:name="_Toc7715595"/>
      <w:r>
        <w:t>Methodenvergleich 2017</w:t>
      </w:r>
      <w:bookmarkEnd w:id="179"/>
      <w:bookmarkEnd w:id="180"/>
    </w:p>
    <w:p w:rsidR="00402D84" w:rsidRPr="0058595C" w:rsidRDefault="00402D84" w:rsidP="00402D84">
      <w:pPr>
        <w:pStyle w:val="12Unterkapitel"/>
        <w:ind w:left="864"/>
      </w:pPr>
      <w:bookmarkStart w:id="181" w:name="_Toc533059356"/>
      <w:bookmarkStart w:id="182" w:name="_Ref533059639"/>
      <w:bookmarkStart w:id="183" w:name="_Ref533059669"/>
      <w:bookmarkStart w:id="184" w:name="_Ref533059782"/>
      <w:bookmarkStart w:id="185" w:name="_Ref533059799"/>
      <w:bookmarkStart w:id="186" w:name="_Ref533059815"/>
      <w:bookmarkStart w:id="187" w:name="_Toc7715596"/>
      <w:r>
        <w:t>Photeklektor, Fangtafel und Lagerbonitur</w:t>
      </w:r>
      <w:bookmarkEnd w:id="181"/>
      <w:bookmarkEnd w:id="182"/>
      <w:bookmarkEnd w:id="183"/>
      <w:bookmarkEnd w:id="184"/>
      <w:bookmarkEnd w:id="185"/>
      <w:bookmarkEnd w:id="186"/>
      <w:bookmarkEnd w:id="187"/>
    </w:p>
    <w:p w:rsidR="00402D84" w:rsidRDefault="00402D84" w:rsidP="00402D84"/>
    <w:p w:rsidR="00402D84" w:rsidRDefault="00402D84" w:rsidP="00041FC7">
      <w:pPr>
        <w:pStyle w:val="Flietext"/>
        <w:jc w:val="both"/>
      </w:pPr>
      <w:r w:rsidRPr="0005159D">
        <w:t>Der Vergleich der Auswertungsmethoden Käferschlupf, Käferfang und Lagerungsbonitur zeigte deutlich den Einfluss von Sorte, Standjahr und Pflanzenschutzbehandlung. Der Käferschlupf in den Photoeklektoren (durchschnittlich 10 Käfer</w:t>
      </w:r>
      <w:r>
        <w:t xml:space="preserve"> pro Eklektor</w:t>
      </w:r>
      <w:r w:rsidRPr="0005159D">
        <w:t xml:space="preserve">, entsprechend 33 Käfer/m²) </w:t>
      </w:r>
      <w:r w:rsidRPr="001D3CB3">
        <w:t>war gut mit den Werten der in PAL-Klebefallen gefangenen Käfer (durchschnittlich 134 Individuen) vergleichbar (</w:t>
      </w:r>
      <w:r w:rsidRPr="001D3CB3">
        <w:fldChar w:fldCharType="begin"/>
      </w:r>
      <w:r w:rsidRPr="001D3CB3">
        <w:instrText xml:space="preserve"> REF _Ref533058891 \h </w:instrText>
      </w:r>
      <w:r w:rsidR="00041FC7" w:rsidRPr="001D3CB3">
        <w:instrText xml:space="preserve"> \* MERGEFORMAT </w:instrText>
      </w:r>
      <w:r w:rsidRPr="001D3CB3">
        <w:fldChar w:fldCharType="separate"/>
      </w:r>
      <w:r w:rsidR="00041FC7" w:rsidRPr="001D3CB3">
        <w:t xml:space="preserve">Abbildung </w:t>
      </w:r>
      <w:r w:rsidR="00041FC7" w:rsidRPr="001D3CB3">
        <w:rPr>
          <w:noProof/>
        </w:rPr>
        <w:t>32</w:t>
      </w:r>
      <w:r w:rsidRPr="001D3CB3">
        <w:fldChar w:fldCharType="end"/>
      </w:r>
      <w:r>
        <w:t>). Statistisch sind der Käferschlupf und die Käfer-Fangzahlen signifikant von der Pflanzenschutzmaßnahme abhängig. Der Käferschlupf der Varianten Dianem und Belem unterscheiden sich jeweils signifikant von jenen der UK, zwischen den Varianten Dianem und Belem ist der Unterschied jedoch nur marginal signifikant. Die Käferfänge auf den Fangtafeln der Varianten Dianem und Belem sind zwar höher als jene der UK, jedoch nicht signifikant</w:t>
      </w:r>
      <w:r w:rsidRPr="0005159D">
        <w:t>. Eine Ausnahme war der Standort Lichendorf 3, wo unverhältnismäßig mehr Käfer auf Fallen klebten, als in den Photoeklektoren schlüpften (48</w:t>
      </w:r>
      <w:r w:rsidR="00041FC7">
        <w:t>.</w:t>
      </w:r>
      <w:r w:rsidRPr="0005159D">
        <w:t>80 % statt durchschnittlich 14</w:t>
      </w:r>
      <w:r w:rsidR="00041FC7">
        <w:t>.</w:t>
      </w:r>
      <w:r w:rsidRPr="0005159D">
        <w:t>00 %</w:t>
      </w:r>
      <w:r>
        <w:t xml:space="preserve"> des Käferschlupfes</w:t>
      </w:r>
      <w:r w:rsidRPr="0005159D">
        <w:t xml:space="preserve">). Da es sich bei diesem Standort um ein verhältnismäßig großes Feld </w:t>
      </w:r>
      <w:r>
        <w:t>von ca. 4 ha ha</w:t>
      </w:r>
      <w:r w:rsidRPr="0005159D">
        <w:t>ndelte und nach der</w:t>
      </w:r>
      <w:r>
        <w:t xml:space="preserve"> Einzelauswertung der</w:t>
      </w:r>
      <w:r w:rsidRPr="0005159D">
        <w:t xml:space="preserve"> Fangtafeln </w:t>
      </w:r>
      <w:r>
        <w:t xml:space="preserve">auf den Parameter „Lage im Feld“ </w:t>
      </w:r>
      <w:r w:rsidRPr="0005159D">
        <w:t>keine Randeffekte (Zuflug) zu erkennen waren, bleibt dieses Phänomen ohne Erklärung. Umgekehrt waren in dem Feld Schwarza V in allen Varianten im Verhältnis mehr Käfer in den Phot</w:t>
      </w:r>
      <w:r>
        <w:t>o</w:t>
      </w:r>
      <w:r w:rsidRPr="0005159D">
        <w:t>eklektoren als auf den Fangtafeln (Mittelwert aller Varianten: 8</w:t>
      </w:r>
      <w:r w:rsidR="00041FC7">
        <w:t>.</w:t>
      </w:r>
      <w:r w:rsidRPr="0005159D">
        <w:t>20 % statt durchschnittlich 14</w:t>
      </w:r>
      <w:r w:rsidR="00041FC7">
        <w:t>.</w:t>
      </w:r>
      <w:r w:rsidRPr="0005159D">
        <w:t xml:space="preserve">00 %). Auch hier sind Randeffekte auszuschließen. </w:t>
      </w:r>
    </w:p>
    <w:p w:rsidR="00402D84" w:rsidRPr="00135CF2" w:rsidRDefault="00402D84" w:rsidP="00402D84">
      <w:pPr>
        <w:pStyle w:val="Flietext"/>
      </w:pPr>
      <w:r>
        <w:rPr>
          <w:noProof/>
          <w:lang w:eastAsia="de-AT"/>
        </w:rPr>
        <w:drawing>
          <wp:inline distT="0" distB="0" distL="0" distR="0" wp14:anchorId="113B519D" wp14:editId="2BB69F0C">
            <wp:extent cx="5828030" cy="3677920"/>
            <wp:effectExtent l="0" t="0" r="1270" b="17780"/>
            <wp:docPr id="9278" name="Diagramm 9278" title="Käferfänge in PAL-Klebefalle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402D84" w:rsidRDefault="00402D84" w:rsidP="00041FC7">
      <w:pPr>
        <w:pStyle w:val="Beschriftung"/>
        <w:jc w:val="both"/>
      </w:pPr>
      <w:bookmarkStart w:id="188" w:name="_Ref533058891"/>
      <w:bookmarkStart w:id="189" w:name="_Toc533059397"/>
      <w:bookmarkStart w:id="190" w:name="_Toc7715421"/>
      <w:r w:rsidRPr="00331E15">
        <w:t xml:space="preserve">Abbildung </w:t>
      </w:r>
      <w:r>
        <w:rPr>
          <w:noProof/>
        </w:rPr>
        <w:fldChar w:fldCharType="begin"/>
      </w:r>
      <w:r>
        <w:rPr>
          <w:noProof/>
        </w:rPr>
        <w:instrText xml:space="preserve"> SEQ Abbildung \* ARABIC </w:instrText>
      </w:r>
      <w:r>
        <w:rPr>
          <w:noProof/>
        </w:rPr>
        <w:fldChar w:fldCharType="separate"/>
      </w:r>
      <w:r w:rsidR="00041FC7">
        <w:rPr>
          <w:noProof/>
        </w:rPr>
        <w:t>32</w:t>
      </w:r>
      <w:r>
        <w:rPr>
          <w:noProof/>
        </w:rPr>
        <w:fldChar w:fldCharType="end"/>
      </w:r>
      <w:bookmarkEnd w:id="188"/>
      <w:r w:rsidRPr="00331E15">
        <w:t>: Mittelwert des Käferschlupfes</w:t>
      </w:r>
      <w:r>
        <w:t xml:space="preserve"> </w:t>
      </w:r>
      <w:r w:rsidRPr="00331E15">
        <w:t>in den Phot</w:t>
      </w:r>
      <w:r>
        <w:t>o</w:t>
      </w:r>
      <w:r w:rsidRPr="00331E15">
        <w:t xml:space="preserve">eklektoren </w:t>
      </w:r>
      <w:r>
        <w:t>und –Käferfanges in PAL-Klebefallen</w:t>
      </w:r>
      <w:r w:rsidRPr="00331E15">
        <w:t xml:space="preserve"> der untersuchten Felder. Farbcode: blau = mit Dianem behandeltes Feld bzw. Dianem</w:t>
      </w:r>
      <w:r>
        <w:t>-</w:t>
      </w:r>
      <w:r w:rsidRPr="00331E15">
        <w:t>behandelte Variante eines Streifenversuches; gelb = mit Belem behandeltes Feld in direkter Nachbarschaft eines Dianem</w:t>
      </w:r>
      <w:r>
        <w:t>-</w:t>
      </w:r>
      <w:r w:rsidRPr="00331E15">
        <w:t>behandelten Feldes bzw. Belem</w:t>
      </w:r>
      <w:r>
        <w:t>-</w:t>
      </w:r>
      <w:r w:rsidRPr="00331E15">
        <w:t>behandelte Variante eines Streifenversuches; rot = unbehandelte Kontrolle eines Streifenversuches.</w:t>
      </w:r>
      <w:bookmarkEnd w:id="189"/>
      <w:bookmarkEnd w:id="190"/>
    </w:p>
    <w:p w:rsidR="00402D84" w:rsidRPr="00331E15" w:rsidRDefault="00402D84" w:rsidP="00041FC7">
      <w:pPr>
        <w:pStyle w:val="Flietext"/>
        <w:jc w:val="both"/>
      </w:pPr>
      <w:r w:rsidRPr="0005159D">
        <w:t xml:space="preserve">Sortenbezogen bestätigten die Ergebnisse </w:t>
      </w:r>
      <w:r>
        <w:t xml:space="preserve">der </w:t>
      </w:r>
      <w:r w:rsidRPr="001D3CB3">
        <w:t>Lagerungsbonitur (</w:t>
      </w:r>
      <w:r w:rsidRPr="001D3CB3">
        <w:fldChar w:fldCharType="begin"/>
      </w:r>
      <w:r w:rsidRPr="001D3CB3">
        <w:instrText xml:space="preserve"> REF _Ref533059031 \h </w:instrText>
      </w:r>
      <w:r w:rsidR="00041FC7" w:rsidRPr="001D3CB3">
        <w:instrText xml:space="preserve"> \* MERGEFORMAT </w:instrText>
      </w:r>
      <w:r w:rsidRPr="001D3CB3">
        <w:fldChar w:fldCharType="separate"/>
      </w:r>
      <w:r w:rsidR="00041FC7" w:rsidRPr="001D3CB3">
        <w:t xml:space="preserve">Abbildung </w:t>
      </w:r>
      <w:r w:rsidR="00041FC7" w:rsidRPr="001D3CB3">
        <w:rPr>
          <w:noProof/>
        </w:rPr>
        <w:t>33</w:t>
      </w:r>
      <w:r w:rsidRPr="001D3CB3">
        <w:fldChar w:fldCharType="end"/>
      </w:r>
      <w:r w:rsidRPr="001D3CB3">
        <w:t>) die gute</w:t>
      </w:r>
      <w:r w:rsidRPr="0005159D">
        <w:t xml:space="preserve"> Standfestigkeit der Sorte Ferarixx auch nach mehrjährigem Maisanbau auf trockenen Standorten (Lichendorf V; durchschnittlich 10 % Lagerung) und mittlerem Käferdruck von 60 Käfern/m² in der UK. Die deutlich erhöhte Lagerungsanfälligkeit der Sorte MAS 40 F nach dem ersten Standjahr wurde zugleich an einem Murfernen Standort beobachtet. Da für diese Sorte keine Vergleichswerte von Murnahen Standorten im mindestens 2. Maisjahr vorliegen und 2017 bis Ende Juli trockene Witterung vorherrschte, vermuten wir, dass es sich hier um ein Zusammenwirken der Faktoren Sorte und Trockenheit handelt. Bei der Sorte MAS 47 P waren keine logischen Zusammenhänge zwischen Befallsstärke und Lagerung des Maises erkennbar. </w:t>
      </w:r>
      <w:r>
        <w:t>Alle</w:t>
      </w:r>
      <w:r w:rsidRPr="0005159D">
        <w:t xml:space="preserve"> drei Standorte mit dieser Sorte </w:t>
      </w:r>
      <w:r>
        <w:t>wiesen</w:t>
      </w:r>
      <w:r w:rsidRPr="0005159D">
        <w:t xml:space="preserve"> vergleichbare Werte des Käferschlupfes (26-30 Käfer/m²)</w:t>
      </w:r>
      <w:r>
        <w:t xml:space="preserve"> auf</w:t>
      </w:r>
      <w:r w:rsidRPr="0005159D">
        <w:t>, jedoch war die Standfestigkeit im zweiten Maisjahr mit 51</w:t>
      </w:r>
      <w:r>
        <w:t>%</w:t>
      </w:r>
      <w:r w:rsidRPr="0005159D">
        <w:t xml:space="preserve"> </w:t>
      </w:r>
      <w:r>
        <w:t xml:space="preserve">(Murnah) </w:t>
      </w:r>
      <w:r w:rsidRPr="0005159D">
        <w:t xml:space="preserve">bzw. 81 % </w:t>
      </w:r>
      <w:r>
        <w:t xml:space="preserve">(Murfern) </w:t>
      </w:r>
      <w:r w:rsidRPr="0005159D">
        <w:t xml:space="preserve">aufrecht stehenden Pflanzen uneinheitlich. </w:t>
      </w:r>
      <w:r>
        <w:t>Am Standort Lichendorf 3</w:t>
      </w:r>
      <w:r w:rsidRPr="0005159D">
        <w:t xml:space="preserve"> im 4. Maisjahr standen 95 % der Pflanzen</w:t>
      </w:r>
      <w:r>
        <w:t>, obwohl hier die höchste Zahl an Käfern gefangen wurde</w:t>
      </w:r>
      <w:r w:rsidRPr="0005159D">
        <w:t>. Diese Werte lassen die Standfestigkeit der Sorte MAS 47 P schwer beurteilen. In allen Versuchsfeldern des Jahres 2017 lag die Summe der Kategorien „Neigung über 30 %“ und „Pflanze liegt“ mit e</w:t>
      </w:r>
      <w:r>
        <w:t>iner Ausnahme jeweils unter 1 %:</w:t>
      </w:r>
      <w:r w:rsidRPr="0005159D">
        <w:t xml:space="preserve"> 95 % Lagerung (davon 2 % „Pflanze liegt“) der Sorte Memoxx am Standort Lichendorf 1, waren auf einen Sturmschaden zurückzuführen und ließen wegen der enormen Stärke des Sturmes keine Aussage auf die Lagerungsanfälligkeit der Sorte zu. Am Standort Schwarza 3 mit sichtbar starkem und sehr frühem Käferaufkommen war erhöhte Lagerungsanfälligkeit der getesteten Maisadour-Sorten sehr wahrscheinlich. </w:t>
      </w:r>
      <w:r>
        <w:t>Für die Sorten Sonja und DKC 4007 der Positivkontrollen Belem war kein Maisjahr bekannt. Unabhängig vom Maisjahr und ohne weitere Vergleichswerte lässt sich nur ihre gute Standfestigkeit in Murnähe belegen.</w:t>
      </w:r>
    </w:p>
    <w:p w:rsidR="00402D84" w:rsidRDefault="00402D84" w:rsidP="00402D84">
      <w:pPr>
        <w:pStyle w:val="Flietext"/>
      </w:pPr>
      <w:r>
        <w:rPr>
          <w:noProof/>
          <w:lang w:eastAsia="de-AT"/>
        </w:rPr>
        <w:drawing>
          <wp:inline distT="0" distB="0" distL="0" distR="0" wp14:anchorId="18004CE1" wp14:editId="5E920C15">
            <wp:extent cx="5828030" cy="4457700"/>
            <wp:effectExtent l="0" t="0" r="1270" b="0"/>
            <wp:docPr id="9279" name="Diagramm 9279" title="Lagerung nach Foltin gewichtet"/>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402D84" w:rsidRPr="00331E15" w:rsidRDefault="00402D84" w:rsidP="00402D84">
      <w:pPr>
        <w:pStyle w:val="Beschriftung"/>
      </w:pPr>
      <w:bookmarkStart w:id="191" w:name="_Ref533059031"/>
      <w:bookmarkStart w:id="192" w:name="_Toc533059398"/>
      <w:bookmarkStart w:id="193" w:name="_Toc7715422"/>
      <w:r w:rsidRPr="00331E15">
        <w:t xml:space="preserve">Abbildung </w:t>
      </w:r>
      <w:r>
        <w:rPr>
          <w:noProof/>
        </w:rPr>
        <w:fldChar w:fldCharType="begin"/>
      </w:r>
      <w:r>
        <w:rPr>
          <w:noProof/>
        </w:rPr>
        <w:instrText xml:space="preserve"> SEQ Abbildung \* ARABIC </w:instrText>
      </w:r>
      <w:r>
        <w:rPr>
          <w:noProof/>
        </w:rPr>
        <w:fldChar w:fldCharType="separate"/>
      </w:r>
      <w:r w:rsidR="00041FC7">
        <w:rPr>
          <w:noProof/>
        </w:rPr>
        <w:t>33</w:t>
      </w:r>
      <w:r>
        <w:rPr>
          <w:noProof/>
        </w:rPr>
        <w:fldChar w:fldCharType="end"/>
      </w:r>
      <w:bookmarkEnd w:id="191"/>
      <w:r w:rsidRPr="00331E15">
        <w:t>: Lagerung der Maispflanzen in Abhängigkeit zur Entfernung der Mur</w:t>
      </w:r>
      <w:bookmarkEnd w:id="192"/>
      <w:bookmarkEnd w:id="193"/>
    </w:p>
    <w:p w:rsidR="00402D84" w:rsidRPr="003D69F7" w:rsidRDefault="00402D84" w:rsidP="00081D4E">
      <w:pPr>
        <w:pStyle w:val="Flietext"/>
        <w:jc w:val="both"/>
        <w:rPr>
          <w:color w:val="auto"/>
        </w:rPr>
      </w:pPr>
      <w:r w:rsidRPr="003D69F7">
        <w:rPr>
          <w:color w:val="auto"/>
        </w:rPr>
        <w:t xml:space="preserve">Im Vergleich der Pflanzenschutzmaßnahmen *Dianem*, *Belem* und *Keine Maßnahmen* waren die Lagerungsschäden in den Dianem-Varianten (nach Ausklammern des </w:t>
      </w:r>
      <w:r w:rsidRPr="001D3CB3">
        <w:rPr>
          <w:color w:val="auto"/>
        </w:rPr>
        <w:t>Standortes Lichendorf 1/Sturmschaden) um 43 % bzw. 21 % geringer als in den UK bzw. in den Belem-Varianten (</w:t>
      </w:r>
      <w:r w:rsidRPr="001D3CB3">
        <w:rPr>
          <w:color w:val="auto"/>
        </w:rPr>
        <w:fldChar w:fldCharType="begin"/>
      </w:r>
      <w:r w:rsidRPr="001D3CB3">
        <w:rPr>
          <w:color w:val="auto"/>
        </w:rPr>
        <w:instrText xml:space="preserve"> REF _Ref533059066 \h </w:instrText>
      </w:r>
      <w:r w:rsidR="00081D4E" w:rsidRPr="001D3CB3">
        <w:rPr>
          <w:color w:val="auto"/>
        </w:rPr>
        <w:instrText xml:space="preserve"> \* MERGEFORMAT </w:instrText>
      </w:r>
      <w:r w:rsidRPr="001D3CB3">
        <w:rPr>
          <w:color w:val="auto"/>
        </w:rPr>
      </w:r>
      <w:r w:rsidRPr="001D3CB3">
        <w:rPr>
          <w:color w:val="auto"/>
        </w:rPr>
        <w:fldChar w:fldCharType="separate"/>
      </w:r>
      <w:r w:rsidR="00081D4E" w:rsidRPr="001D3CB3">
        <w:t xml:space="preserve">Abbildung </w:t>
      </w:r>
      <w:r w:rsidR="00081D4E" w:rsidRPr="001D3CB3">
        <w:rPr>
          <w:noProof/>
        </w:rPr>
        <w:t>34</w:t>
      </w:r>
      <w:r w:rsidRPr="001D3CB3">
        <w:rPr>
          <w:color w:val="auto"/>
        </w:rPr>
        <w:fldChar w:fldCharType="end"/>
      </w:r>
      <w:r w:rsidRPr="001D3CB3">
        <w:rPr>
          <w:color w:val="auto"/>
        </w:rPr>
        <w:t>). Betrachtet man gezielt die Werte der Versuchsfelder Schwarza V und Lichendorf V, weist jeweils die Belem-Variante die stärkste Lagerung gegenüber der UK und der Dianem-Variante auf (</w:t>
      </w:r>
      <w:r w:rsidRPr="001D3CB3">
        <w:rPr>
          <w:color w:val="auto"/>
        </w:rPr>
        <w:fldChar w:fldCharType="begin"/>
      </w:r>
      <w:r w:rsidRPr="001D3CB3">
        <w:rPr>
          <w:color w:val="auto"/>
        </w:rPr>
        <w:instrText xml:space="preserve"> REF _Ref533059066 \h </w:instrText>
      </w:r>
      <w:r w:rsidR="00081D4E" w:rsidRPr="001D3CB3">
        <w:rPr>
          <w:color w:val="auto"/>
        </w:rPr>
        <w:instrText xml:space="preserve"> \* MERGEFORMAT </w:instrText>
      </w:r>
      <w:r w:rsidRPr="001D3CB3">
        <w:rPr>
          <w:color w:val="auto"/>
        </w:rPr>
      </w:r>
      <w:r w:rsidRPr="001D3CB3">
        <w:rPr>
          <w:color w:val="auto"/>
        </w:rPr>
        <w:fldChar w:fldCharType="separate"/>
      </w:r>
      <w:r w:rsidR="00081D4E" w:rsidRPr="001D3CB3">
        <w:t>Abbildung 34</w:t>
      </w:r>
      <w:r w:rsidRPr="001D3CB3">
        <w:rPr>
          <w:color w:val="auto"/>
        </w:rPr>
        <w:fldChar w:fldCharType="end"/>
      </w:r>
      <w:r w:rsidRPr="001D3CB3">
        <w:rPr>
          <w:color w:val="auto"/>
        </w:rPr>
        <w:t>).</w:t>
      </w:r>
    </w:p>
    <w:p w:rsidR="00402D84" w:rsidRPr="00081D4E" w:rsidRDefault="00402D84" w:rsidP="00402D84">
      <w:pPr>
        <w:pStyle w:val="Flietext"/>
        <w:rPr>
          <w:color w:val="auto"/>
        </w:rPr>
      </w:pPr>
      <w:r>
        <w:rPr>
          <w:noProof/>
          <w:lang w:eastAsia="de-AT"/>
        </w:rPr>
        <w:drawing>
          <wp:inline distT="0" distB="0" distL="0" distR="0" wp14:anchorId="23E67240" wp14:editId="2B179A94">
            <wp:extent cx="5591175" cy="2790825"/>
            <wp:effectExtent l="0" t="0" r="9525" b="9525"/>
            <wp:docPr id="9280" name="Diagramm 9280" title="Lagerung nach Foltin gewichtet"/>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402D84" w:rsidRPr="00421D0D" w:rsidRDefault="00402D84" w:rsidP="00402D84">
      <w:pPr>
        <w:pStyle w:val="Beschriftung"/>
        <w:rPr>
          <w:color w:val="FF0000"/>
        </w:rPr>
      </w:pPr>
      <w:bookmarkStart w:id="194" w:name="_Ref533059066"/>
      <w:bookmarkStart w:id="195" w:name="_Toc533059399"/>
      <w:bookmarkStart w:id="196" w:name="_Toc7715423"/>
      <w:r w:rsidRPr="00081D4E">
        <w:rPr>
          <w:color w:val="auto"/>
        </w:rPr>
        <w:t xml:space="preserve">Abbildung </w:t>
      </w:r>
      <w:r w:rsidRPr="00081D4E">
        <w:rPr>
          <w:noProof/>
          <w:color w:val="auto"/>
        </w:rPr>
        <w:fldChar w:fldCharType="begin"/>
      </w:r>
      <w:r w:rsidRPr="00081D4E">
        <w:rPr>
          <w:noProof/>
          <w:color w:val="auto"/>
        </w:rPr>
        <w:instrText xml:space="preserve"> SEQ Abbildung \* ARABIC </w:instrText>
      </w:r>
      <w:r w:rsidRPr="00081D4E">
        <w:rPr>
          <w:noProof/>
          <w:color w:val="auto"/>
        </w:rPr>
        <w:fldChar w:fldCharType="separate"/>
      </w:r>
      <w:r w:rsidR="00081D4E" w:rsidRPr="00081D4E">
        <w:rPr>
          <w:noProof/>
          <w:color w:val="auto"/>
        </w:rPr>
        <w:t>34</w:t>
      </w:r>
      <w:r w:rsidRPr="00081D4E">
        <w:rPr>
          <w:noProof/>
          <w:color w:val="auto"/>
        </w:rPr>
        <w:fldChar w:fldCharType="end"/>
      </w:r>
      <w:bookmarkEnd w:id="194"/>
      <w:r w:rsidRPr="00081D4E">
        <w:rPr>
          <w:color w:val="auto"/>
        </w:rPr>
        <w:t xml:space="preserve">: Lagerung des Maises in Abhängigkeit der Pflanzenschutzmaßnahme ohne Standort Lichendorf 1 </w:t>
      </w:r>
      <w:r w:rsidRPr="00AF1A61">
        <w:rPr>
          <w:color w:val="auto"/>
        </w:rPr>
        <w:t>(Sturmschaden)</w:t>
      </w:r>
      <w:bookmarkEnd w:id="195"/>
      <w:bookmarkEnd w:id="196"/>
    </w:p>
    <w:p w:rsidR="00402D84" w:rsidRDefault="00402D84" w:rsidP="00402D84">
      <w:pPr>
        <w:pStyle w:val="12Unterkapitel"/>
        <w:numPr>
          <w:ilvl w:val="3"/>
          <w:numId w:val="3"/>
        </w:numPr>
        <w:ind w:left="864"/>
      </w:pPr>
      <w:bookmarkStart w:id="197" w:name="_Toc533059357"/>
      <w:bookmarkStart w:id="198" w:name="_Toc7715597"/>
      <w:r>
        <w:t>Ernteertrag</w:t>
      </w:r>
      <w:bookmarkEnd w:id="197"/>
      <w:bookmarkEnd w:id="198"/>
    </w:p>
    <w:p w:rsidR="00402D84" w:rsidRPr="002B0891" w:rsidRDefault="00402D84" w:rsidP="00081D4E">
      <w:pPr>
        <w:pStyle w:val="Flietext"/>
        <w:jc w:val="both"/>
        <w:rPr>
          <w:color w:val="000000" w:themeColor="text1"/>
        </w:rPr>
      </w:pPr>
      <w:r w:rsidRPr="004F2658">
        <w:rPr>
          <w:color w:val="000000" w:themeColor="text1"/>
        </w:rPr>
        <w:t>E</w:t>
      </w:r>
      <w:r>
        <w:rPr>
          <w:color w:val="000000" w:themeColor="text1"/>
        </w:rPr>
        <w:t>rntee</w:t>
      </w:r>
      <w:r w:rsidRPr="004F2658">
        <w:rPr>
          <w:color w:val="000000" w:themeColor="text1"/>
        </w:rPr>
        <w:t xml:space="preserve">rtragswerte stehen ausschließlich für die Streifenversuche in Schwarza V und Lichendorf V zu </w:t>
      </w:r>
      <w:r w:rsidRPr="001D3CB3">
        <w:rPr>
          <w:color w:val="000000" w:themeColor="text1"/>
        </w:rPr>
        <w:t>Verfügung (</w:t>
      </w:r>
      <w:r w:rsidRPr="001D3CB3">
        <w:rPr>
          <w:color w:val="000000" w:themeColor="text1"/>
        </w:rPr>
        <w:fldChar w:fldCharType="begin"/>
      </w:r>
      <w:r w:rsidRPr="001D3CB3">
        <w:rPr>
          <w:color w:val="000000" w:themeColor="text1"/>
        </w:rPr>
        <w:instrText xml:space="preserve"> REF _Ref533059096 \h </w:instrText>
      </w:r>
      <w:r w:rsidR="00081D4E" w:rsidRPr="001D3CB3">
        <w:rPr>
          <w:color w:val="000000" w:themeColor="text1"/>
        </w:rPr>
        <w:instrText xml:space="preserve"> \* MERGEFORMAT </w:instrText>
      </w:r>
      <w:r w:rsidRPr="001D3CB3">
        <w:rPr>
          <w:color w:val="000000" w:themeColor="text1"/>
        </w:rPr>
      </w:r>
      <w:r w:rsidRPr="001D3CB3">
        <w:rPr>
          <w:color w:val="000000" w:themeColor="text1"/>
        </w:rPr>
        <w:fldChar w:fldCharType="separate"/>
      </w:r>
      <w:r w:rsidR="00081D4E" w:rsidRPr="001D3CB3">
        <w:t xml:space="preserve">Abbildung </w:t>
      </w:r>
      <w:r w:rsidR="00081D4E" w:rsidRPr="001D3CB3">
        <w:rPr>
          <w:noProof/>
        </w:rPr>
        <w:t>35</w:t>
      </w:r>
      <w:r w:rsidRPr="001D3CB3">
        <w:rPr>
          <w:color w:val="000000" w:themeColor="text1"/>
        </w:rPr>
        <w:fldChar w:fldCharType="end"/>
      </w:r>
      <w:r w:rsidRPr="001D3CB3">
        <w:rPr>
          <w:color w:val="000000" w:themeColor="text1"/>
        </w:rPr>
        <w:t>). Alle Erntewerte</w:t>
      </w:r>
      <w:r>
        <w:rPr>
          <w:color w:val="000000" w:themeColor="text1"/>
        </w:rPr>
        <w:t xml:space="preserve"> unterscheiden sich signifikant. Zum Einem unterscheiden sich die Erntewerte der beiden Standorte signifikant, was auf unterschiedliche Sorten und Standorte zurückzuführen ist. </w:t>
      </w:r>
      <w:r w:rsidRPr="004F2658">
        <w:rPr>
          <w:color w:val="000000" w:themeColor="text1"/>
        </w:rPr>
        <w:t xml:space="preserve">Klar zeigten </w:t>
      </w:r>
      <w:r>
        <w:rPr>
          <w:color w:val="000000" w:themeColor="text1"/>
        </w:rPr>
        <w:t xml:space="preserve">jedoch auch </w:t>
      </w:r>
      <w:r w:rsidRPr="004F2658">
        <w:rPr>
          <w:color w:val="000000" w:themeColor="text1"/>
        </w:rPr>
        <w:t xml:space="preserve">die Dianem-Varianten beider Versuchsfelder im Vergleich zu jenen der </w:t>
      </w:r>
      <w:r>
        <w:rPr>
          <w:color w:val="000000" w:themeColor="text1"/>
        </w:rPr>
        <w:t>u</w:t>
      </w:r>
      <w:r w:rsidRPr="004F2658">
        <w:rPr>
          <w:color w:val="000000" w:themeColor="text1"/>
        </w:rPr>
        <w:t xml:space="preserve">nbehandelten Kontrolle und der Belem-Variante </w:t>
      </w:r>
      <w:r>
        <w:rPr>
          <w:color w:val="000000" w:themeColor="text1"/>
        </w:rPr>
        <w:t xml:space="preserve">signifikant höhere Erträge. </w:t>
      </w:r>
      <w:r w:rsidRPr="004F2658">
        <w:rPr>
          <w:color w:val="000000" w:themeColor="text1"/>
        </w:rPr>
        <w:t xml:space="preserve">Der relative Ertrag lag in Schwarza für Dianem bei 119 %, die UK 107 % und für Belem bei 74 %; In Lichendorf für Dianem bei 110 %, die UK bei 94 % und für Belem bei 96 %. </w:t>
      </w:r>
      <w:r>
        <w:rPr>
          <w:color w:val="000000" w:themeColor="text1"/>
        </w:rPr>
        <w:t>Nach Auskunft von Herrn Jost sind die Erntemengen des Standortes Lichendorf V stets höher als jene in Schwarza V.</w:t>
      </w:r>
    </w:p>
    <w:p w:rsidR="00402D84" w:rsidRDefault="00402D84" w:rsidP="00402D84">
      <w:pPr>
        <w:pStyle w:val="Flietext"/>
      </w:pPr>
      <w:r>
        <w:rPr>
          <w:noProof/>
          <w:lang w:eastAsia="de-AT"/>
        </w:rPr>
        <w:drawing>
          <wp:inline distT="0" distB="0" distL="0" distR="0" wp14:anchorId="215FB4DB" wp14:editId="6FAA0295">
            <wp:extent cx="5829300" cy="2742565"/>
            <wp:effectExtent l="0" t="0" r="0" b="635"/>
            <wp:docPr id="9281" name="Diagramm 9281" title="ha Ertrag in kg trocke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402D84" w:rsidRDefault="00402D84" w:rsidP="00402D84">
      <w:pPr>
        <w:pStyle w:val="Beschriftung"/>
        <w:rPr>
          <w:color w:val="FF0000"/>
        </w:rPr>
      </w:pPr>
      <w:bookmarkStart w:id="199" w:name="_Ref533059096"/>
      <w:bookmarkStart w:id="200" w:name="_Toc533059400"/>
      <w:bookmarkStart w:id="201" w:name="_Toc7715424"/>
      <w:r>
        <w:t xml:space="preserve">Abbildung </w:t>
      </w:r>
      <w:r>
        <w:rPr>
          <w:noProof/>
        </w:rPr>
        <w:fldChar w:fldCharType="begin"/>
      </w:r>
      <w:r>
        <w:rPr>
          <w:noProof/>
        </w:rPr>
        <w:instrText xml:space="preserve"> SEQ Abbildung \* ARABIC </w:instrText>
      </w:r>
      <w:r>
        <w:rPr>
          <w:noProof/>
        </w:rPr>
        <w:fldChar w:fldCharType="separate"/>
      </w:r>
      <w:r w:rsidR="00081D4E">
        <w:rPr>
          <w:noProof/>
        </w:rPr>
        <w:t>35</w:t>
      </w:r>
      <w:r>
        <w:rPr>
          <w:noProof/>
        </w:rPr>
        <w:fldChar w:fldCharType="end"/>
      </w:r>
      <w:bookmarkEnd w:id="199"/>
      <w:r>
        <w:t xml:space="preserve">: </w:t>
      </w:r>
      <w:r w:rsidRPr="006E5F08">
        <w:rPr>
          <w:color w:val="auto"/>
        </w:rPr>
        <w:t>Ernteerträge der beiden Streifenversuche in kg Trockengewicht Hektarertrag.</w:t>
      </w:r>
      <w:bookmarkEnd w:id="200"/>
      <w:bookmarkEnd w:id="201"/>
    </w:p>
    <w:p w:rsidR="00402D84" w:rsidRPr="00A2543B" w:rsidRDefault="00402D84" w:rsidP="00402D84">
      <w:pPr>
        <w:pStyle w:val="Flietext"/>
      </w:pPr>
    </w:p>
    <w:p w:rsidR="00402D84" w:rsidRDefault="00402D84" w:rsidP="00402D84">
      <w:pPr>
        <w:pStyle w:val="12Unterkapitel"/>
        <w:numPr>
          <w:ilvl w:val="3"/>
          <w:numId w:val="3"/>
        </w:numPr>
        <w:ind w:left="864"/>
      </w:pPr>
      <w:bookmarkStart w:id="202" w:name="_Toc533059358"/>
      <w:bookmarkStart w:id="203" w:name="_Toc7715598"/>
      <w:r>
        <w:t>LagerungsSchäden und Käferauftreten in Abhängigkeit von der Bodentemperatur</w:t>
      </w:r>
      <w:bookmarkEnd w:id="202"/>
      <w:bookmarkEnd w:id="203"/>
    </w:p>
    <w:p w:rsidR="00402D84" w:rsidRPr="001D3CB3" w:rsidRDefault="00402D84" w:rsidP="00081D4E">
      <w:pPr>
        <w:pStyle w:val="Flietext"/>
        <w:jc w:val="both"/>
        <w:rPr>
          <w:color w:val="auto"/>
        </w:rPr>
      </w:pPr>
      <w:r w:rsidRPr="00D33CBA">
        <w:rPr>
          <w:color w:val="auto"/>
        </w:rPr>
        <w:t xml:space="preserve">Die durchschnittliche Bodentemperatur in ca. 15 cm Bodentiefe lag bei allen Feldern zwischen 19 und 20 °C. Der Vergleich der Temperaturmittel aller Felder geblockt in zweiwöchige Abschnitte ergab Temperaturunterschiede zwischen wärmsten und kältesten Feld von 0,7 bis 1,5 °C. tendenziell waren die Temperaturunterschiede in </w:t>
      </w:r>
      <w:r w:rsidRPr="001D3CB3">
        <w:rPr>
          <w:color w:val="auto"/>
        </w:rPr>
        <w:t xml:space="preserve">den Sommermonaten größer. Bis Mitte Mai wurden in Murnahen Feldern höhere Temperaturen gemessen, danach in Murfernen Feldern. Die Mur wirkt offensichtlich als Puffer, der die Bodentempertauren stabiler hält. </w:t>
      </w:r>
    </w:p>
    <w:p w:rsidR="00402D84" w:rsidRPr="00D33CBA" w:rsidRDefault="00402D84" w:rsidP="00081D4E">
      <w:pPr>
        <w:pStyle w:val="Flietext"/>
        <w:jc w:val="both"/>
        <w:rPr>
          <w:color w:val="auto"/>
        </w:rPr>
      </w:pPr>
      <w:r w:rsidRPr="001D3CB3">
        <w:rPr>
          <w:color w:val="auto"/>
        </w:rPr>
        <w:t xml:space="preserve">Setzt man die Temperaturverhältnisse mit dem Ernteertrag in Beziehung, sieht man bei der Varianten mit dem höchsten Ertrag, *Lichendorf V Dianem*, dass im Boden mittlere Temperatur mit wenig Unterschieden gemessen wurde (Spalte Lichendorf V, </w:t>
      </w:r>
      <w:r w:rsidRPr="001D3CB3">
        <w:rPr>
          <w:color w:val="auto"/>
        </w:rPr>
        <w:fldChar w:fldCharType="begin"/>
      </w:r>
      <w:r w:rsidRPr="001D3CB3">
        <w:rPr>
          <w:color w:val="auto"/>
        </w:rPr>
        <w:instrText xml:space="preserve"> REF _Ref533059414 \h </w:instrText>
      </w:r>
      <w:r w:rsidR="00081D4E" w:rsidRPr="001D3CB3">
        <w:rPr>
          <w:color w:val="auto"/>
        </w:rPr>
        <w:instrText xml:space="preserve"> \* MERGEFORMAT </w:instrText>
      </w:r>
      <w:r w:rsidRPr="001D3CB3">
        <w:rPr>
          <w:color w:val="auto"/>
        </w:rPr>
      </w:r>
      <w:r w:rsidRPr="001D3CB3">
        <w:rPr>
          <w:color w:val="auto"/>
        </w:rPr>
        <w:fldChar w:fldCharType="separate"/>
      </w:r>
      <w:r w:rsidR="00081D4E" w:rsidRPr="001D3CB3">
        <w:t xml:space="preserve">Tabelle </w:t>
      </w:r>
      <w:r w:rsidR="00081D4E" w:rsidRPr="001D3CB3">
        <w:rPr>
          <w:noProof/>
        </w:rPr>
        <w:t>6</w:t>
      </w:r>
      <w:r w:rsidRPr="001D3CB3">
        <w:rPr>
          <w:color w:val="auto"/>
        </w:rPr>
        <w:fldChar w:fldCharType="end"/>
      </w:r>
      <w:r w:rsidRPr="001D3CB3">
        <w:rPr>
          <w:color w:val="auto"/>
        </w:rPr>
        <w:t xml:space="preserve">). In der Varianten mit dem geringsten Ertrag, *Schwarza V Belem*, wurden die höchsten Bodentemperaturen gemessen (Spalte Schwarza V, </w:t>
      </w:r>
      <w:r w:rsidRPr="001D3CB3">
        <w:rPr>
          <w:color w:val="auto"/>
        </w:rPr>
        <w:fldChar w:fldCharType="begin"/>
      </w:r>
      <w:r w:rsidRPr="001D3CB3">
        <w:rPr>
          <w:color w:val="auto"/>
        </w:rPr>
        <w:instrText xml:space="preserve"> REF _Ref533059414 \h </w:instrText>
      </w:r>
      <w:r w:rsidR="00081D4E" w:rsidRPr="001D3CB3">
        <w:rPr>
          <w:color w:val="auto"/>
        </w:rPr>
        <w:instrText xml:space="preserve"> \* MERGEFORMAT </w:instrText>
      </w:r>
      <w:r w:rsidRPr="001D3CB3">
        <w:rPr>
          <w:color w:val="auto"/>
        </w:rPr>
      </w:r>
      <w:r w:rsidRPr="001D3CB3">
        <w:rPr>
          <w:color w:val="auto"/>
        </w:rPr>
        <w:fldChar w:fldCharType="separate"/>
      </w:r>
      <w:r w:rsidR="00081D4E" w:rsidRPr="001D3CB3">
        <w:t xml:space="preserve">Tabelle </w:t>
      </w:r>
      <w:r w:rsidR="00081D4E" w:rsidRPr="001D3CB3">
        <w:rPr>
          <w:noProof/>
        </w:rPr>
        <w:t>6</w:t>
      </w:r>
      <w:r w:rsidRPr="001D3CB3">
        <w:rPr>
          <w:color w:val="auto"/>
        </w:rPr>
        <w:fldChar w:fldCharType="end"/>
      </w:r>
      <w:r w:rsidRPr="001D3CB3">
        <w:rPr>
          <w:color w:val="auto"/>
        </w:rPr>
        <w:t>). Wenn nun Temperatur für die Käferentwicklung und das Schadaufkommen im Maisacker eine Rolle spielen würde</w:t>
      </w:r>
      <w:r w:rsidRPr="00D33CBA">
        <w:rPr>
          <w:color w:val="auto"/>
        </w:rPr>
        <w:t xml:space="preserve">, müsste sie sich u.a. auch auf die Variante Schwarza </w:t>
      </w:r>
      <w:r>
        <w:rPr>
          <w:color w:val="auto"/>
        </w:rPr>
        <w:t xml:space="preserve">V </w:t>
      </w:r>
      <w:r w:rsidRPr="00D33CBA">
        <w:rPr>
          <w:color w:val="auto"/>
        </w:rPr>
        <w:t xml:space="preserve">Dianem auswirken. Dies ist jedoch nicht der Fall. Somit kann angenommen werden, dass die Bodentemperatur eine untergeordnete Rolle spielt. </w:t>
      </w:r>
    </w:p>
    <w:p w:rsidR="00402D84" w:rsidRDefault="00402D84" w:rsidP="00B0294B">
      <w:pPr>
        <w:pStyle w:val="Tabellentitel"/>
      </w:pPr>
      <w:bookmarkStart w:id="204" w:name="_Ref533059414"/>
      <w:bookmarkStart w:id="205" w:name="_Toc533059375"/>
      <w:bookmarkStart w:id="206" w:name="_Toc7715387"/>
      <w:r>
        <w:t xml:space="preserve">Tabelle </w:t>
      </w:r>
      <w:r>
        <w:rPr>
          <w:noProof/>
        </w:rPr>
        <w:fldChar w:fldCharType="begin"/>
      </w:r>
      <w:r>
        <w:rPr>
          <w:noProof/>
        </w:rPr>
        <w:instrText xml:space="preserve"> SEQ Tabelle \* ARABIC </w:instrText>
      </w:r>
      <w:r>
        <w:rPr>
          <w:noProof/>
        </w:rPr>
        <w:fldChar w:fldCharType="separate"/>
      </w:r>
      <w:r w:rsidR="00081D4E">
        <w:rPr>
          <w:noProof/>
        </w:rPr>
        <w:t>6</w:t>
      </w:r>
      <w:r>
        <w:rPr>
          <w:noProof/>
        </w:rPr>
        <w:fldChar w:fldCharType="end"/>
      </w:r>
      <w:bookmarkEnd w:id="204"/>
      <w:r>
        <w:rPr>
          <w:noProof/>
        </w:rPr>
        <w:t>:</w:t>
      </w:r>
      <w:r w:rsidRPr="003D69F7">
        <w:t>Bodentemperatur in 15 cm Bodentiefe in halbmonatlichen Mittelwerten und Jahresmitteln. Gereiht nach der Lager der Felder zur Mur.</w:t>
      </w:r>
      <w:bookmarkEnd w:id="205"/>
      <w:bookmarkEnd w:id="206"/>
    </w:p>
    <w:p w:rsidR="007F0207" w:rsidRDefault="007F0207" w:rsidP="007F0207">
      <w:pPr>
        <w:pStyle w:val="Tabelle"/>
        <w:rPr>
          <w:lang w:val="de-AT" w:eastAsia="ja-JP"/>
        </w:rPr>
      </w:pPr>
    </w:p>
    <w:tbl>
      <w:tblPr>
        <w:tblW w:w="9641" w:type="dxa"/>
        <w:jc w:val="right"/>
        <w:tblBorders>
          <w:insideH w:val="single" w:sz="2" w:space="0" w:color="auto"/>
          <w:insideV w:val="single" w:sz="2" w:space="0" w:color="auto"/>
        </w:tblBorders>
        <w:tblLayout w:type="fixed"/>
        <w:tblLook w:val="06A0" w:firstRow="1" w:lastRow="0" w:firstColumn="1" w:lastColumn="0" w:noHBand="1" w:noVBand="1"/>
      </w:tblPr>
      <w:tblGrid>
        <w:gridCol w:w="1134"/>
        <w:gridCol w:w="1134"/>
        <w:gridCol w:w="946"/>
        <w:gridCol w:w="1181"/>
        <w:gridCol w:w="850"/>
        <w:gridCol w:w="992"/>
        <w:gridCol w:w="851"/>
        <w:gridCol w:w="851"/>
        <w:gridCol w:w="851"/>
        <w:gridCol w:w="851"/>
      </w:tblGrid>
      <w:tr w:rsidR="007F0207" w:rsidRPr="002013FE" w:rsidTr="0077006A">
        <w:trPr>
          <w:trHeight w:val="241"/>
          <w:jc w:val="right"/>
        </w:trPr>
        <w:tc>
          <w:tcPr>
            <w:tcW w:w="1134" w:type="dxa"/>
            <w:shd w:val="clear" w:color="auto" w:fill="auto"/>
            <w:vAlign w:val="center"/>
            <w:hideMark/>
          </w:tcPr>
          <w:p w:rsidR="007F0207" w:rsidRPr="002013FE" w:rsidRDefault="007F0207" w:rsidP="007F0207">
            <w:pPr>
              <w:rPr>
                <w:rFonts w:eastAsia="Times New Roman"/>
                <w:b/>
                <w:color w:val="2869A1"/>
                <w:lang w:val="de-DE" w:eastAsia="de-DE"/>
              </w:rPr>
            </w:pPr>
            <w:r w:rsidRPr="007F0207">
              <w:rPr>
                <w:rFonts w:eastAsia="Times New Roman"/>
                <w:b/>
                <w:color w:val="2869A1"/>
                <w:lang w:val="de-DE" w:eastAsia="de-DE"/>
              </w:rPr>
              <w:t>Temperatur-mittel bis</w:t>
            </w:r>
          </w:p>
        </w:tc>
        <w:tc>
          <w:tcPr>
            <w:tcW w:w="1134" w:type="dxa"/>
            <w:shd w:val="clear" w:color="auto" w:fill="auto"/>
            <w:vAlign w:val="center"/>
            <w:hideMark/>
          </w:tcPr>
          <w:p w:rsidR="007F0207" w:rsidRPr="002013FE" w:rsidRDefault="007F0207" w:rsidP="007F0207">
            <w:pPr>
              <w:jc w:val="right"/>
              <w:rPr>
                <w:rFonts w:eastAsia="Times New Roman"/>
                <w:b/>
                <w:color w:val="2869A1"/>
                <w:lang w:val="de-DE" w:eastAsia="de-DE"/>
              </w:rPr>
            </w:pPr>
            <w:r w:rsidRPr="007F0207">
              <w:rPr>
                <w:rFonts w:eastAsia="Times New Roman"/>
                <w:b/>
                <w:color w:val="2869A1"/>
                <w:lang w:val="de-DE" w:eastAsia="de-DE"/>
              </w:rPr>
              <w:t>Lichen dorf 1</w:t>
            </w:r>
            <w:r w:rsidRPr="002013FE">
              <w:rPr>
                <w:rFonts w:eastAsia="Times New Roman"/>
                <w:b/>
                <w:color w:val="2869A1"/>
                <w:lang w:val="de-DE" w:eastAsia="de-DE"/>
              </w:rPr>
              <w:t xml:space="preserve"> </w:t>
            </w:r>
          </w:p>
        </w:tc>
        <w:tc>
          <w:tcPr>
            <w:tcW w:w="946" w:type="dxa"/>
            <w:shd w:val="clear" w:color="auto" w:fill="auto"/>
            <w:vAlign w:val="center"/>
            <w:hideMark/>
          </w:tcPr>
          <w:p w:rsidR="007F0207" w:rsidRPr="002013FE" w:rsidRDefault="007F0207" w:rsidP="007F0207">
            <w:pPr>
              <w:jc w:val="right"/>
              <w:rPr>
                <w:rFonts w:eastAsia="Times New Roman"/>
                <w:b/>
                <w:color w:val="2869A1"/>
                <w:lang w:val="de-DE" w:eastAsia="de-DE"/>
              </w:rPr>
            </w:pPr>
            <w:r w:rsidRPr="007F0207">
              <w:rPr>
                <w:rFonts w:eastAsia="Times New Roman"/>
                <w:b/>
                <w:color w:val="2869A1"/>
                <w:lang w:val="de-DE" w:eastAsia="de-DE"/>
              </w:rPr>
              <w:t>Schwarza 1</w:t>
            </w:r>
          </w:p>
        </w:tc>
        <w:tc>
          <w:tcPr>
            <w:tcW w:w="1181" w:type="dxa"/>
            <w:vAlign w:val="center"/>
          </w:tcPr>
          <w:p w:rsidR="007F0207" w:rsidRPr="002013FE" w:rsidRDefault="007F0207" w:rsidP="007F0207">
            <w:pPr>
              <w:jc w:val="right"/>
              <w:rPr>
                <w:rFonts w:eastAsia="Times New Roman"/>
                <w:b/>
                <w:color w:val="2869A1"/>
                <w:lang w:val="de-DE" w:eastAsia="de-DE"/>
              </w:rPr>
            </w:pPr>
            <w:r w:rsidRPr="007F0207">
              <w:rPr>
                <w:rFonts w:eastAsia="Times New Roman"/>
                <w:b/>
                <w:color w:val="2869A1"/>
              </w:rPr>
              <w:t>Lichendorf 2</w:t>
            </w:r>
          </w:p>
        </w:tc>
        <w:tc>
          <w:tcPr>
            <w:tcW w:w="850" w:type="dxa"/>
            <w:vAlign w:val="center"/>
          </w:tcPr>
          <w:p w:rsidR="007F0207" w:rsidRPr="002013FE" w:rsidRDefault="007F0207" w:rsidP="007F0207">
            <w:pPr>
              <w:jc w:val="right"/>
              <w:rPr>
                <w:rFonts w:eastAsia="Times New Roman"/>
                <w:b/>
                <w:color w:val="2869A1"/>
                <w:lang w:val="de-DE" w:eastAsia="de-DE"/>
              </w:rPr>
            </w:pPr>
            <w:r w:rsidRPr="007F0207">
              <w:rPr>
                <w:rFonts w:eastAsia="Times New Roman"/>
                <w:b/>
                <w:color w:val="2869A1"/>
              </w:rPr>
              <w:t>Lichendorf V</w:t>
            </w:r>
          </w:p>
        </w:tc>
        <w:tc>
          <w:tcPr>
            <w:tcW w:w="992" w:type="dxa"/>
            <w:vAlign w:val="center"/>
          </w:tcPr>
          <w:p w:rsidR="007F0207" w:rsidRPr="002013FE" w:rsidRDefault="007F0207" w:rsidP="007F0207">
            <w:pPr>
              <w:jc w:val="right"/>
              <w:rPr>
                <w:rFonts w:eastAsia="Times New Roman"/>
                <w:b/>
                <w:color w:val="2869A1"/>
                <w:lang w:val="de-DE" w:eastAsia="de-DE"/>
              </w:rPr>
            </w:pPr>
            <w:r w:rsidRPr="007F0207">
              <w:rPr>
                <w:rFonts w:eastAsia="Times New Roman"/>
                <w:b/>
                <w:color w:val="2869A1"/>
              </w:rPr>
              <w:t>Lichendorf 3</w:t>
            </w:r>
          </w:p>
        </w:tc>
        <w:tc>
          <w:tcPr>
            <w:tcW w:w="851" w:type="dxa"/>
            <w:vAlign w:val="center"/>
          </w:tcPr>
          <w:p w:rsidR="007F0207" w:rsidRPr="002013FE" w:rsidRDefault="007F0207" w:rsidP="007F0207">
            <w:pPr>
              <w:jc w:val="right"/>
              <w:rPr>
                <w:rFonts w:eastAsia="Times New Roman"/>
                <w:b/>
                <w:color w:val="2869A1"/>
                <w:lang w:val="de-DE" w:eastAsia="de-DE"/>
              </w:rPr>
            </w:pPr>
            <w:r w:rsidRPr="007F0207">
              <w:rPr>
                <w:rFonts w:eastAsia="Times New Roman"/>
                <w:b/>
                <w:color w:val="2869A1"/>
              </w:rPr>
              <w:t>Schwarza 4</w:t>
            </w:r>
          </w:p>
        </w:tc>
        <w:tc>
          <w:tcPr>
            <w:tcW w:w="851" w:type="dxa"/>
            <w:vAlign w:val="center"/>
          </w:tcPr>
          <w:p w:rsidR="007F0207" w:rsidRPr="002013FE" w:rsidRDefault="007F0207" w:rsidP="007F0207">
            <w:pPr>
              <w:jc w:val="right"/>
              <w:rPr>
                <w:rFonts w:eastAsia="Times New Roman"/>
                <w:b/>
                <w:color w:val="2869A1"/>
                <w:lang w:val="de-DE" w:eastAsia="de-DE"/>
              </w:rPr>
            </w:pPr>
            <w:r w:rsidRPr="007F0207">
              <w:rPr>
                <w:rFonts w:eastAsia="Times New Roman"/>
                <w:b/>
                <w:color w:val="2869A1"/>
              </w:rPr>
              <w:t>Schwarza V</w:t>
            </w:r>
          </w:p>
        </w:tc>
        <w:tc>
          <w:tcPr>
            <w:tcW w:w="851" w:type="dxa"/>
            <w:vAlign w:val="center"/>
          </w:tcPr>
          <w:p w:rsidR="007F0207" w:rsidRPr="002013FE" w:rsidRDefault="007F0207" w:rsidP="007F0207">
            <w:pPr>
              <w:jc w:val="right"/>
              <w:rPr>
                <w:rFonts w:eastAsia="Times New Roman"/>
                <w:b/>
                <w:color w:val="2869A1"/>
                <w:lang w:val="de-DE" w:eastAsia="de-DE"/>
              </w:rPr>
            </w:pPr>
            <w:r w:rsidRPr="007F0207">
              <w:rPr>
                <w:rFonts w:eastAsia="Times New Roman"/>
                <w:b/>
                <w:color w:val="2869A1"/>
              </w:rPr>
              <w:t>Lichendorf 4</w:t>
            </w:r>
          </w:p>
        </w:tc>
        <w:tc>
          <w:tcPr>
            <w:tcW w:w="851" w:type="dxa"/>
            <w:vAlign w:val="center"/>
          </w:tcPr>
          <w:p w:rsidR="007F0207" w:rsidRDefault="007F0207" w:rsidP="007F0207">
            <w:pPr>
              <w:jc w:val="right"/>
              <w:rPr>
                <w:rFonts w:eastAsia="Times New Roman"/>
                <w:b/>
                <w:color w:val="2869A1"/>
              </w:rPr>
            </w:pPr>
            <w:r>
              <w:rPr>
                <w:rFonts w:eastAsia="Times New Roman"/>
                <w:b/>
                <w:color w:val="2869A1"/>
              </w:rPr>
              <w:t>Temp.</w:t>
            </w:r>
            <w:r w:rsidRPr="007F0207">
              <w:rPr>
                <w:rFonts w:eastAsia="Times New Roman"/>
                <w:b/>
                <w:color w:val="2869A1"/>
              </w:rPr>
              <w:t>unterschied in °C</w:t>
            </w:r>
          </w:p>
          <w:p w:rsidR="007F0207" w:rsidRPr="002013FE" w:rsidRDefault="007F0207" w:rsidP="007F0207">
            <w:pPr>
              <w:jc w:val="right"/>
              <w:rPr>
                <w:rFonts w:eastAsia="Times New Roman"/>
                <w:b/>
                <w:color w:val="2869A1"/>
                <w:lang w:val="de-DE" w:eastAsia="de-DE"/>
              </w:rPr>
            </w:pPr>
          </w:p>
        </w:tc>
      </w:tr>
      <w:tr w:rsidR="007F0207" w:rsidRPr="002013FE" w:rsidTr="0096722B">
        <w:trPr>
          <w:trHeight w:val="241"/>
          <w:jc w:val="right"/>
        </w:trPr>
        <w:tc>
          <w:tcPr>
            <w:tcW w:w="1134" w:type="dxa"/>
            <w:vAlign w:val="bottom"/>
          </w:tcPr>
          <w:p w:rsidR="007F0207" w:rsidRPr="00CD527D" w:rsidRDefault="007F0207" w:rsidP="007F0207">
            <w:pPr>
              <w:pStyle w:val="Tabelle"/>
            </w:pPr>
            <w:r w:rsidRPr="00CD527D">
              <w:t>15.04.2017</w:t>
            </w:r>
          </w:p>
        </w:tc>
        <w:tc>
          <w:tcPr>
            <w:tcW w:w="1134" w:type="dxa"/>
            <w:vAlign w:val="bottom"/>
          </w:tcPr>
          <w:p w:rsidR="007F0207" w:rsidRPr="00CD527D" w:rsidRDefault="007F0207" w:rsidP="007F0207">
            <w:pPr>
              <w:pStyle w:val="Tabelle"/>
            </w:pPr>
            <w:r w:rsidRPr="00CD527D">
              <w:t>15,49</w:t>
            </w:r>
          </w:p>
        </w:tc>
        <w:tc>
          <w:tcPr>
            <w:tcW w:w="946" w:type="dxa"/>
            <w:vAlign w:val="bottom"/>
          </w:tcPr>
          <w:p w:rsidR="007F0207" w:rsidRPr="00CD527D" w:rsidRDefault="007F0207" w:rsidP="007F0207">
            <w:pPr>
              <w:pStyle w:val="Tabelle"/>
            </w:pPr>
            <w:r w:rsidRPr="00CD527D">
              <w:t>14,99</w:t>
            </w:r>
          </w:p>
        </w:tc>
        <w:tc>
          <w:tcPr>
            <w:tcW w:w="1181" w:type="dxa"/>
            <w:vAlign w:val="bottom"/>
          </w:tcPr>
          <w:p w:rsidR="007F0207" w:rsidRPr="00CD527D" w:rsidRDefault="007F0207" w:rsidP="007F0207">
            <w:pPr>
              <w:pStyle w:val="Tabelle"/>
            </w:pPr>
            <w:r w:rsidRPr="00CD527D">
              <w:t>16,01</w:t>
            </w:r>
          </w:p>
        </w:tc>
        <w:tc>
          <w:tcPr>
            <w:tcW w:w="850" w:type="dxa"/>
            <w:vAlign w:val="bottom"/>
          </w:tcPr>
          <w:p w:rsidR="007F0207" w:rsidRPr="00CD527D" w:rsidRDefault="007F0207" w:rsidP="007F0207">
            <w:pPr>
              <w:pStyle w:val="Tabelle"/>
            </w:pPr>
            <w:r w:rsidRPr="00CD527D">
              <w:t>15,56</w:t>
            </w:r>
          </w:p>
        </w:tc>
        <w:tc>
          <w:tcPr>
            <w:tcW w:w="992" w:type="dxa"/>
            <w:vAlign w:val="bottom"/>
          </w:tcPr>
          <w:p w:rsidR="007F0207" w:rsidRPr="00CD527D" w:rsidRDefault="007F0207" w:rsidP="007F0207">
            <w:pPr>
              <w:pStyle w:val="Tabelle"/>
            </w:pPr>
            <w:r w:rsidRPr="00CD527D">
              <w:t>15,50</w:t>
            </w:r>
          </w:p>
        </w:tc>
        <w:tc>
          <w:tcPr>
            <w:tcW w:w="851" w:type="dxa"/>
            <w:vAlign w:val="bottom"/>
          </w:tcPr>
          <w:p w:rsidR="007F0207" w:rsidRPr="00CD527D" w:rsidRDefault="007F0207" w:rsidP="007F0207">
            <w:pPr>
              <w:pStyle w:val="Tabelle"/>
            </w:pPr>
            <w:r w:rsidRPr="00CD527D">
              <w:t>15,25</w:t>
            </w:r>
          </w:p>
        </w:tc>
        <w:tc>
          <w:tcPr>
            <w:tcW w:w="851" w:type="dxa"/>
            <w:vAlign w:val="bottom"/>
          </w:tcPr>
          <w:p w:rsidR="007F0207" w:rsidRPr="00CD527D" w:rsidRDefault="007F0207" w:rsidP="007F0207">
            <w:pPr>
              <w:pStyle w:val="Tabelle"/>
            </w:pPr>
            <w:r w:rsidRPr="00CD527D">
              <w:t>15,46</w:t>
            </w:r>
          </w:p>
        </w:tc>
        <w:tc>
          <w:tcPr>
            <w:tcW w:w="851" w:type="dxa"/>
            <w:vAlign w:val="bottom"/>
          </w:tcPr>
          <w:p w:rsidR="007F0207" w:rsidRPr="00CD527D" w:rsidRDefault="007F0207" w:rsidP="007F0207">
            <w:pPr>
              <w:pStyle w:val="Tabelle"/>
            </w:pPr>
            <w:r w:rsidRPr="00CD527D">
              <w:t>15,37</w:t>
            </w:r>
          </w:p>
        </w:tc>
        <w:tc>
          <w:tcPr>
            <w:tcW w:w="851" w:type="dxa"/>
            <w:vAlign w:val="bottom"/>
          </w:tcPr>
          <w:p w:rsidR="007F0207" w:rsidRPr="00CD527D" w:rsidRDefault="007F0207" w:rsidP="007F0207">
            <w:pPr>
              <w:pStyle w:val="Tabelle"/>
            </w:pPr>
            <w:r w:rsidRPr="00CD527D">
              <w:t>1,1</w:t>
            </w:r>
          </w:p>
        </w:tc>
      </w:tr>
      <w:tr w:rsidR="007F0207" w:rsidRPr="002013FE" w:rsidTr="0096722B">
        <w:trPr>
          <w:trHeight w:val="241"/>
          <w:jc w:val="right"/>
        </w:trPr>
        <w:tc>
          <w:tcPr>
            <w:tcW w:w="1134" w:type="dxa"/>
            <w:vAlign w:val="bottom"/>
          </w:tcPr>
          <w:p w:rsidR="007F0207" w:rsidRPr="00CD527D" w:rsidRDefault="007F0207" w:rsidP="007F0207">
            <w:pPr>
              <w:pStyle w:val="Tabelle"/>
            </w:pPr>
            <w:r w:rsidRPr="00CD527D">
              <w:t>30.04.2017</w:t>
            </w:r>
          </w:p>
        </w:tc>
        <w:tc>
          <w:tcPr>
            <w:tcW w:w="1134" w:type="dxa"/>
            <w:vAlign w:val="bottom"/>
          </w:tcPr>
          <w:p w:rsidR="007F0207" w:rsidRPr="00CD527D" w:rsidRDefault="007F0207" w:rsidP="007F0207">
            <w:pPr>
              <w:pStyle w:val="Tabelle"/>
            </w:pPr>
            <w:r w:rsidRPr="00CD527D">
              <w:t>12,10</w:t>
            </w:r>
          </w:p>
        </w:tc>
        <w:tc>
          <w:tcPr>
            <w:tcW w:w="946" w:type="dxa"/>
            <w:vAlign w:val="bottom"/>
          </w:tcPr>
          <w:p w:rsidR="007F0207" w:rsidRPr="00CD527D" w:rsidRDefault="007F0207" w:rsidP="007F0207">
            <w:pPr>
              <w:pStyle w:val="Tabelle"/>
            </w:pPr>
            <w:r w:rsidRPr="00CD527D">
              <w:t>11,65</w:t>
            </w:r>
          </w:p>
        </w:tc>
        <w:tc>
          <w:tcPr>
            <w:tcW w:w="1181" w:type="dxa"/>
            <w:vAlign w:val="bottom"/>
          </w:tcPr>
          <w:p w:rsidR="007F0207" w:rsidRPr="00CD527D" w:rsidRDefault="007F0207" w:rsidP="007F0207">
            <w:pPr>
              <w:pStyle w:val="Tabelle"/>
            </w:pPr>
            <w:r w:rsidRPr="00CD527D">
              <w:t>12,32</w:t>
            </w:r>
          </w:p>
        </w:tc>
        <w:tc>
          <w:tcPr>
            <w:tcW w:w="850" w:type="dxa"/>
            <w:vAlign w:val="bottom"/>
          </w:tcPr>
          <w:p w:rsidR="007F0207" w:rsidRPr="00CD527D" w:rsidRDefault="007F0207" w:rsidP="007F0207">
            <w:pPr>
              <w:pStyle w:val="Tabelle"/>
            </w:pPr>
            <w:r w:rsidRPr="00CD527D">
              <w:t>11,96</w:t>
            </w:r>
          </w:p>
        </w:tc>
        <w:tc>
          <w:tcPr>
            <w:tcW w:w="992" w:type="dxa"/>
            <w:vAlign w:val="bottom"/>
          </w:tcPr>
          <w:p w:rsidR="007F0207" w:rsidRPr="00CD527D" w:rsidRDefault="007F0207" w:rsidP="007F0207">
            <w:pPr>
              <w:pStyle w:val="Tabelle"/>
            </w:pPr>
            <w:r w:rsidRPr="00CD527D">
              <w:t>11,89</w:t>
            </w:r>
          </w:p>
        </w:tc>
        <w:tc>
          <w:tcPr>
            <w:tcW w:w="851" w:type="dxa"/>
            <w:vAlign w:val="bottom"/>
          </w:tcPr>
          <w:p w:rsidR="007F0207" w:rsidRPr="00CD527D" w:rsidRDefault="007F0207" w:rsidP="007F0207">
            <w:pPr>
              <w:pStyle w:val="Tabelle"/>
            </w:pPr>
            <w:r w:rsidRPr="00CD527D">
              <w:t>11,61</w:t>
            </w:r>
          </w:p>
        </w:tc>
        <w:tc>
          <w:tcPr>
            <w:tcW w:w="851" w:type="dxa"/>
            <w:vAlign w:val="bottom"/>
          </w:tcPr>
          <w:p w:rsidR="007F0207" w:rsidRPr="00CD527D" w:rsidRDefault="007F0207" w:rsidP="007F0207">
            <w:pPr>
              <w:pStyle w:val="Tabelle"/>
            </w:pPr>
            <w:r w:rsidRPr="00CD527D">
              <w:t>11,74</w:t>
            </w:r>
          </w:p>
        </w:tc>
        <w:tc>
          <w:tcPr>
            <w:tcW w:w="851" w:type="dxa"/>
            <w:vAlign w:val="bottom"/>
          </w:tcPr>
          <w:p w:rsidR="007F0207" w:rsidRPr="00CD527D" w:rsidRDefault="007F0207" w:rsidP="007F0207">
            <w:pPr>
              <w:pStyle w:val="Tabelle"/>
            </w:pPr>
            <w:r w:rsidRPr="00CD527D">
              <w:t>11,47</w:t>
            </w:r>
          </w:p>
        </w:tc>
        <w:tc>
          <w:tcPr>
            <w:tcW w:w="851" w:type="dxa"/>
            <w:vAlign w:val="bottom"/>
          </w:tcPr>
          <w:p w:rsidR="007F0207" w:rsidRPr="00CD527D" w:rsidRDefault="007F0207" w:rsidP="007F0207">
            <w:pPr>
              <w:pStyle w:val="Tabelle"/>
            </w:pPr>
            <w:r w:rsidRPr="00CD527D">
              <w:t>0,7</w:t>
            </w:r>
          </w:p>
        </w:tc>
      </w:tr>
      <w:tr w:rsidR="007F0207" w:rsidRPr="002013FE" w:rsidTr="0096722B">
        <w:trPr>
          <w:trHeight w:val="241"/>
          <w:jc w:val="right"/>
        </w:trPr>
        <w:tc>
          <w:tcPr>
            <w:tcW w:w="1134" w:type="dxa"/>
            <w:vAlign w:val="bottom"/>
          </w:tcPr>
          <w:p w:rsidR="007F0207" w:rsidRPr="00CD527D" w:rsidRDefault="007F0207" w:rsidP="007F0207">
            <w:pPr>
              <w:pStyle w:val="Tabelle"/>
            </w:pPr>
            <w:r w:rsidRPr="00CD527D">
              <w:t>15.05.2017</w:t>
            </w:r>
          </w:p>
        </w:tc>
        <w:tc>
          <w:tcPr>
            <w:tcW w:w="1134" w:type="dxa"/>
            <w:vAlign w:val="bottom"/>
          </w:tcPr>
          <w:p w:rsidR="007F0207" w:rsidRPr="00CD527D" w:rsidRDefault="007F0207" w:rsidP="007F0207">
            <w:pPr>
              <w:pStyle w:val="Tabelle"/>
            </w:pPr>
            <w:r w:rsidRPr="00CD527D">
              <w:t>15,42</w:t>
            </w:r>
          </w:p>
        </w:tc>
        <w:tc>
          <w:tcPr>
            <w:tcW w:w="946" w:type="dxa"/>
            <w:vAlign w:val="bottom"/>
          </w:tcPr>
          <w:p w:rsidR="007F0207" w:rsidRPr="00CD527D" w:rsidRDefault="007F0207" w:rsidP="007F0207">
            <w:pPr>
              <w:pStyle w:val="Tabelle"/>
            </w:pPr>
            <w:r w:rsidRPr="00CD527D">
              <w:t>15,50</w:t>
            </w:r>
          </w:p>
        </w:tc>
        <w:tc>
          <w:tcPr>
            <w:tcW w:w="1181" w:type="dxa"/>
            <w:vAlign w:val="bottom"/>
          </w:tcPr>
          <w:p w:rsidR="007F0207" w:rsidRPr="00CD527D" w:rsidRDefault="007F0207" w:rsidP="007F0207">
            <w:pPr>
              <w:pStyle w:val="Tabelle"/>
            </w:pPr>
            <w:r w:rsidRPr="00CD527D">
              <w:t>15,99</w:t>
            </w:r>
          </w:p>
        </w:tc>
        <w:tc>
          <w:tcPr>
            <w:tcW w:w="850" w:type="dxa"/>
            <w:vAlign w:val="bottom"/>
          </w:tcPr>
          <w:p w:rsidR="007F0207" w:rsidRPr="00CD527D" w:rsidRDefault="007F0207" w:rsidP="007F0207">
            <w:pPr>
              <w:pStyle w:val="Tabelle"/>
            </w:pPr>
            <w:r w:rsidRPr="00CD527D">
              <w:t>15,19</w:t>
            </w:r>
          </w:p>
        </w:tc>
        <w:tc>
          <w:tcPr>
            <w:tcW w:w="992" w:type="dxa"/>
            <w:vAlign w:val="bottom"/>
          </w:tcPr>
          <w:p w:rsidR="007F0207" w:rsidRPr="00CD527D" w:rsidRDefault="007F0207" w:rsidP="007F0207">
            <w:pPr>
              <w:pStyle w:val="Tabelle"/>
            </w:pPr>
            <w:r w:rsidRPr="00CD527D">
              <w:t>15,67</w:t>
            </w:r>
          </w:p>
        </w:tc>
        <w:tc>
          <w:tcPr>
            <w:tcW w:w="851" w:type="dxa"/>
            <w:vAlign w:val="bottom"/>
          </w:tcPr>
          <w:p w:rsidR="007F0207" w:rsidRPr="00CD527D" w:rsidRDefault="007F0207" w:rsidP="007F0207">
            <w:pPr>
              <w:pStyle w:val="Tabelle"/>
            </w:pPr>
            <w:r w:rsidRPr="00CD527D">
              <w:t>15,99</w:t>
            </w:r>
          </w:p>
        </w:tc>
        <w:tc>
          <w:tcPr>
            <w:tcW w:w="851" w:type="dxa"/>
            <w:vAlign w:val="bottom"/>
          </w:tcPr>
          <w:p w:rsidR="007F0207" w:rsidRPr="00CD527D" w:rsidRDefault="007F0207" w:rsidP="007F0207">
            <w:pPr>
              <w:pStyle w:val="Tabelle"/>
            </w:pPr>
            <w:r w:rsidRPr="00CD527D">
              <w:t>16,05</w:t>
            </w:r>
          </w:p>
        </w:tc>
        <w:tc>
          <w:tcPr>
            <w:tcW w:w="851" w:type="dxa"/>
            <w:vAlign w:val="bottom"/>
          </w:tcPr>
          <w:p w:rsidR="007F0207" w:rsidRPr="00CD527D" w:rsidRDefault="007F0207" w:rsidP="007F0207">
            <w:pPr>
              <w:pStyle w:val="Tabelle"/>
            </w:pPr>
            <w:r w:rsidRPr="00CD527D">
              <w:t>15,64</w:t>
            </w:r>
          </w:p>
        </w:tc>
        <w:tc>
          <w:tcPr>
            <w:tcW w:w="851" w:type="dxa"/>
            <w:vAlign w:val="bottom"/>
          </w:tcPr>
          <w:p w:rsidR="007F0207" w:rsidRPr="00CD527D" w:rsidRDefault="007F0207" w:rsidP="007F0207">
            <w:pPr>
              <w:pStyle w:val="Tabelle"/>
            </w:pPr>
            <w:r w:rsidRPr="00CD527D">
              <w:t>0,8</w:t>
            </w:r>
          </w:p>
        </w:tc>
      </w:tr>
      <w:tr w:rsidR="007F0207" w:rsidRPr="002013FE" w:rsidTr="0096722B">
        <w:trPr>
          <w:trHeight w:val="241"/>
          <w:jc w:val="right"/>
        </w:trPr>
        <w:tc>
          <w:tcPr>
            <w:tcW w:w="1134" w:type="dxa"/>
            <w:vAlign w:val="bottom"/>
          </w:tcPr>
          <w:p w:rsidR="007F0207" w:rsidRPr="00CD527D" w:rsidRDefault="007F0207" w:rsidP="007F0207">
            <w:pPr>
              <w:pStyle w:val="Tabelle"/>
            </w:pPr>
            <w:r w:rsidRPr="00CD527D">
              <w:t>31.05.2017</w:t>
            </w:r>
          </w:p>
        </w:tc>
        <w:tc>
          <w:tcPr>
            <w:tcW w:w="1134" w:type="dxa"/>
            <w:vAlign w:val="bottom"/>
          </w:tcPr>
          <w:p w:rsidR="007F0207" w:rsidRPr="00CD527D" w:rsidRDefault="007F0207" w:rsidP="007F0207">
            <w:pPr>
              <w:pStyle w:val="Tabelle"/>
            </w:pPr>
            <w:r w:rsidRPr="00CD527D">
              <w:t>20,70</w:t>
            </w:r>
          </w:p>
        </w:tc>
        <w:tc>
          <w:tcPr>
            <w:tcW w:w="946" w:type="dxa"/>
            <w:vAlign w:val="bottom"/>
          </w:tcPr>
          <w:p w:rsidR="007F0207" w:rsidRPr="00CD527D" w:rsidRDefault="007F0207" w:rsidP="007F0207">
            <w:pPr>
              <w:pStyle w:val="Tabelle"/>
            </w:pPr>
            <w:r w:rsidRPr="00CD527D">
              <w:t>20,87</w:t>
            </w:r>
          </w:p>
        </w:tc>
        <w:tc>
          <w:tcPr>
            <w:tcW w:w="1181" w:type="dxa"/>
            <w:vAlign w:val="bottom"/>
          </w:tcPr>
          <w:p w:rsidR="007F0207" w:rsidRPr="00CD527D" w:rsidRDefault="007F0207" w:rsidP="007F0207">
            <w:pPr>
              <w:pStyle w:val="Tabelle"/>
            </w:pPr>
            <w:r w:rsidRPr="00CD527D">
              <w:t>21,46</w:t>
            </w:r>
          </w:p>
        </w:tc>
        <w:tc>
          <w:tcPr>
            <w:tcW w:w="850" w:type="dxa"/>
            <w:vAlign w:val="bottom"/>
          </w:tcPr>
          <w:p w:rsidR="007F0207" w:rsidRPr="00CD527D" w:rsidRDefault="007F0207" w:rsidP="007F0207">
            <w:pPr>
              <w:pStyle w:val="Tabelle"/>
            </w:pPr>
            <w:r w:rsidRPr="00CD527D">
              <w:t>20,89</w:t>
            </w:r>
          </w:p>
        </w:tc>
        <w:tc>
          <w:tcPr>
            <w:tcW w:w="992" w:type="dxa"/>
            <w:vAlign w:val="bottom"/>
          </w:tcPr>
          <w:p w:rsidR="007F0207" w:rsidRPr="00CD527D" w:rsidRDefault="007F0207" w:rsidP="007F0207">
            <w:pPr>
              <w:pStyle w:val="Tabelle"/>
            </w:pPr>
            <w:r w:rsidRPr="00CD527D">
              <w:t>21,37</w:t>
            </w:r>
          </w:p>
        </w:tc>
        <w:tc>
          <w:tcPr>
            <w:tcW w:w="851" w:type="dxa"/>
            <w:vAlign w:val="bottom"/>
          </w:tcPr>
          <w:p w:rsidR="007F0207" w:rsidRPr="00CD527D" w:rsidRDefault="007F0207" w:rsidP="007F0207">
            <w:pPr>
              <w:pStyle w:val="Tabelle"/>
            </w:pPr>
            <w:r w:rsidRPr="00CD527D">
              <w:t>21,76</w:t>
            </w:r>
          </w:p>
        </w:tc>
        <w:tc>
          <w:tcPr>
            <w:tcW w:w="851" w:type="dxa"/>
            <w:vAlign w:val="bottom"/>
          </w:tcPr>
          <w:p w:rsidR="007F0207" w:rsidRPr="00CD527D" w:rsidRDefault="007F0207" w:rsidP="007F0207">
            <w:pPr>
              <w:pStyle w:val="Tabelle"/>
            </w:pPr>
            <w:r w:rsidRPr="00CD527D">
              <w:t>22,19</w:t>
            </w:r>
          </w:p>
        </w:tc>
        <w:tc>
          <w:tcPr>
            <w:tcW w:w="851" w:type="dxa"/>
            <w:vAlign w:val="bottom"/>
          </w:tcPr>
          <w:p w:rsidR="007F0207" w:rsidRPr="00CD527D" w:rsidRDefault="007F0207" w:rsidP="007F0207">
            <w:pPr>
              <w:pStyle w:val="Tabelle"/>
            </w:pPr>
            <w:r w:rsidRPr="00CD527D">
              <w:t>21,22</w:t>
            </w:r>
          </w:p>
        </w:tc>
        <w:tc>
          <w:tcPr>
            <w:tcW w:w="851" w:type="dxa"/>
            <w:vAlign w:val="bottom"/>
          </w:tcPr>
          <w:p w:rsidR="007F0207" w:rsidRPr="00CD527D" w:rsidRDefault="007F0207" w:rsidP="007F0207">
            <w:pPr>
              <w:pStyle w:val="Tabelle"/>
            </w:pPr>
            <w:r w:rsidRPr="00CD527D">
              <w:t>1</w:t>
            </w:r>
          </w:p>
        </w:tc>
      </w:tr>
      <w:tr w:rsidR="007F0207" w:rsidRPr="002013FE" w:rsidTr="0096722B">
        <w:trPr>
          <w:trHeight w:val="241"/>
          <w:jc w:val="right"/>
        </w:trPr>
        <w:tc>
          <w:tcPr>
            <w:tcW w:w="1134" w:type="dxa"/>
            <w:vAlign w:val="bottom"/>
          </w:tcPr>
          <w:p w:rsidR="007F0207" w:rsidRPr="00CD527D" w:rsidRDefault="007F0207" w:rsidP="007F0207">
            <w:pPr>
              <w:pStyle w:val="Tabelle"/>
            </w:pPr>
            <w:r w:rsidRPr="00CD527D">
              <w:t>15.06.2017</w:t>
            </w:r>
          </w:p>
        </w:tc>
        <w:tc>
          <w:tcPr>
            <w:tcW w:w="1134" w:type="dxa"/>
            <w:vAlign w:val="bottom"/>
          </w:tcPr>
          <w:p w:rsidR="007F0207" w:rsidRPr="00CD527D" w:rsidRDefault="007F0207" w:rsidP="007F0207">
            <w:pPr>
              <w:pStyle w:val="Tabelle"/>
            </w:pPr>
            <w:r w:rsidRPr="00CD527D">
              <w:t>21,86</w:t>
            </w:r>
          </w:p>
        </w:tc>
        <w:tc>
          <w:tcPr>
            <w:tcW w:w="946" w:type="dxa"/>
            <w:vAlign w:val="bottom"/>
          </w:tcPr>
          <w:p w:rsidR="007F0207" w:rsidRPr="00CD527D" w:rsidRDefault="007F0207" w:rsidP="007F0207">
            <w:pPr>
              <w:pStyle w:val="Tabelle"/>
            </w:pPr>
            <w:r w:rsidRPr="00CD527D">
              <w:t>21,96</w:t>
            </w:r>
          </w:p>
        </w:tc>
        <w:tc>
          <w:tcPr>
            <w:tcW w:w="1181" w:type="dxa"/>
            <w:vAlign w:val="bottom"/>
          </w:tcPr>
          <w:p w:rsidR="007F0207" w:rsidRPr="00CD527D" w:rsidRDefault="007F0207" w:rsidP="007F0207">
            <w:pPr>
              <w:pStyle w:val="Tabelle"/>
            </w:pPr>
            <w:r w:rsidRPr="00CD527D">
              <w:t>22,54</w:t>
            </w:r>
          </w:p>
        </w:tc>
        <w:tc>
          <w:tcPr>
            <w:tcW w:w="850" w:type="dxa"/>
            <w:vAlign w:val="bottom"/>
          </w:tcPr>
          <w:p w:rsidR="007F0207" w:rsidRPr="00CD527D" w:rsidRDefault="007F0207" w:rsidP="007F0207">
            <w:pPr>
              <w:pStyle w:val="Tabelle"/>
            </w:pPr>
            <w:r w:rsidRPr="00CD527D">
              <w:t>22,65</w:t>
            </w:r>
          </w:p>
        </w:tc>
        <w:tc>
          <w:tcPr>
            <w:tcW w:w="992" w:type="dxa"/>
            <w:vAlign w:val="bottom"/>
          </w:tcPr>
          <w:p w:rsidR="007F0207" w:rsidRPr="00CD527D" w:rsidRDefault="007F0207" w:rsidP="007F0207">
            <w:pPr>
              <w:pStyle w:val="Tabelle"/>
            </w:pPr>
            <w:r w:rsidRPr="00CD527D">
              <w:t>22,37</w:t>
            </w:r>
          </w:p>
        </w:tc>
        <w:tc>
          <w:tcPr>
            <w:tcW w:w="851" w:type="dxa"/>
            <w:vAlign w:val="bottom"/>
          </w:tcPr>
          <w:p w:rsidR="007F0207" w:rsidRPr="00CD527D" w:rsidRDefault="007F0207" w:rsidP="007F0207">
            <w:pPr>
              <w:pStyle w:val="Tabelle"/>
            </w:pPr>
            <w:r w:rsidRPr="00CD527D">
              <w:t>22,38</w:t>
            </w:r>
          </w:p>
        </w:tc>
        <w:tc>
          <w:tcPr>
            <w:tcW w:w="851" w:type="dxa"/>
            <w:vAlign w:val="bottom"/>
          </w:tcPr>
          <w:p w:rsidR="007F0207" w:rsidRPr="00CD527D" w:rsidRDefault="007F0207" w:rsidP="007F0207">
            <w:pPr>
              <w:pStyle w:val="Tabelle"/>
            </w:pPr>
            <w:r w:rsidRPr="00CD527D">
              <w:t>23,07</w:t>
            </w:r>
          </w:p>
        </w:tc>
        <w:tc>
          <w:tcPr>
            <w:tcW w:w="851" w:type="dxa"/>
            <w:vAlign w:val="bottom"/>
          </w:tcPr>
          <w:p w:rsidR="007F0207" w:rsidRPr="00CD527D" w:rsidRDefault="007F0207" w:rsidP="007F0207">
            <w:pPr>
              <w:pStyle w:val="Tabelle"/>
            </w:pPr>
            <w:r w:rsidRPr="00CD527D">
              <w:t>22,99</w:t>
            </w:r>
          </w:p>
        </w:tc>
        <w:tc>
          <w:tcPr>
            <w:tcW w:w="851" w:type="dxa"/>
            <w:vAlign w:val="bottom"/>
          </w:tcPr>
          <w:p w:rsidR="007F0207" w:rsidRPr="00CD527D" w:rsidRDefault="007F0207" w:rsidP="007F0207">
            <w:pPr>
              <w:pStyle w:val="Tabelle"/>
            </w:pPr>
            <w:r w:rsidRPr="00CD527D">
              <w:t>1,2</w:t>
            </w:r>
          </w:p>
        </w:tc>
      </w:tr>
      <w:tr w:rsidR="007F0207" w:rsidRPr="002013FE" w:rsidTr="0096722B">
        <w:trPr>
          <w:trHeight w:val="241"/>
          <w:jc w:val="right"/>
        </w:trPr>
        <w:tc>
          <w:tcPr>
            <w:tcW w:w="1134" w:type="dxa"/>
            <w:vAlign w:val="bottom"/>
          </w:tcPr>
          <w:p w:rsidR="007F0207" w:rsidRPr="00CD527D" w:rsidRDefault="007F0207" w:rsidP="007F0207">
            <w:pPr>
              <w:pStyle w:val="Tabelle"/>
            </w:pPr>
            <w:r w:rsidRPr="00CD527D">
              <w:t>30.06.2017</w:t>
            </w:r>
          </w:p>
        </w:tc>
        <w:tc>
          <w:tcPr>
            <w:tcW w:w="1134" w:type="dxa"/>
            <w:vAlign w:val="bottom"/>
          </w:tcPr>
          <w:p w:rsidR="007F0207" w:rsidRPr="00CD527D" w:rsidRDefault="007F0207" w:rsidP="007F0207">
            <w:pPr>
              <w:pStyle w:val="Tabelle"/>
            </w:pPr>
            <w:r w:rsidRPr="00CD527D">
              <w:t>21,72</w:t>
            </w:r>
          </w:p>
        </w:tc>
        <w:tc>
          <w:tcPr>
            <w:tcW w:w="946" w:type="dxa"/>
            <w:vAlign w:val="bottom"/>
          </w:tcPr>
          <w:p w:rsidR="007F0207" w:rsidRPr="00CD527D" w:rsidRDefault="007F0207" w:rsidP="007F0207">
            <w:pPr>
              <w:pStyle w:val="Tabelle"/>
            </w:pPr>
            <w:r w:rsidRPr="00CD527D">
              <w:t>21,12</w:t>
            </w:r>
          </w:p>
        </w:tc>
        <w:tc>
          <w:tcPr>
            <w:tcW w:w="1181" w:type="dxa"/>
            <w:vAlign w:val="bottom"/>
          </w:tcPr>
          <w:p w:rsidR="007F0207" w:rsidRPr="00CD527D" w:rsidRDefault="007F0207" w:rsidP="007F0207">
            <w:pPr>
              <w:pStyle w:val="Tabelle"/>
            </w:pPr>
            <w:r w:rsidRPr="00CD527D">
              <w:t>22,36</w:t>
            </w:r>
          </w:p>
        </w:tc>
        <w:tc>
          <w:tcPr>
            <w:tcW w:w="850" w:type="dxa"/>
            <w:vAlign w:val="bottom"/>
          </w:tcPr>
          <w:p w:rsidR="007F0207" w:rsidRPr="00CD527D" w:rsidRDefault="007F0207" w:rsidP="007F0207">
            <w:pPr>
              <w:pStyle w:val="Tabelle"/>
            </w:pPr>
            <w:r w:rsidRPr="00CD527D">
              <w:t>22,33</w:t>
            </w:r>
          </w:p>
        </w:tc>
        <w:tc>
          <w:tcPr>
            <w:tcW w:w="992" w:type="dxa"/>
            <w:vAlign w:val="bottom"/>
          </w:tcPr>
          <w:p w:rsidR="007F0207" w:rsidRPr="00CD527D" w:rsidRDefault="007F0207" w:rsidP="007F0207">
            <w:pPr>
              <w:pStyle w:val="Tabelle"/>
            </w:pPr>
            <w:r w:rsidRPr="00CD527D">
              <w:t>22,21</w:t>
            </w:r>
          </w:p>
        </w:tc>
        <w:tc>
          <w:tcPr>
            <w:tcW w:w="851" w:type="dxa"/>
            <w:vAlign w:val="bottom"/>
          </w:tcPr>
          <w:p w:rsidR="007F0207" w:rsidRPr="00CD527D" w:rsidRDefault="007F0207" w:rsidP="007F0207">
            <w:pPr>
              <w:pStyle w:val="Tabelle"/>
            </w:pPr>
            <w:r w:rsidRPr="00CD527D">
              <w:t>21,79</w:t>
            </w:r>
          </w:p>
        </w:tc>
        <w:tc>
          <w:tcPr>
            <w:tcW w:w="851" w:type="dxa"/>
            <w:vAlign w:val="bottom"/>
          </w:tcPr>
          <w:p w:rsidR="007F0207" w:rsidRPr="00CD527D" w:rsidRDefault="007F0207" w:rsidP="007F0207">
            <w:pPr>
              <w:pStyle w:val="Tabelle"/>
            </w:pPr>
            <w:r w:rsidRPr="00CD527D">
              <w:t>22,94</w:t>
            </w:r>
          </w:p>
        </w:tc>
        <w:tc>
          <w:tcPr>
            <w:tcW w:w="851" w:type="dxa"/>
            <w:vAlign w:val="bottom"/>
          </w:tcPr>
          <w:p w:rsidR="007F0207" w:rsidRPr="00CD527D" w:rsidRDefault="007F0207" w:rsidP="007F0207">
            <w:pPr>
              <w:pStyle w:val="Tabelle"/>
            </w:pPr>
            <w:r w:rsidRPr="00CD527D">
              <w:t>23,34</w:t>
            </w:r>
          </w:p>
        </w:tc>
        <w:tc>
          <w:tcPr>
            <w:tcW w:w="851" w:type="dxa"/>
            <w:vAlign w:val="bottom"/>
          </w:tcPr>
          <w:p w:rsidR="007F0207" w:rsidRPr="00CD527D" w:rsidRDefault="007F0207" w:rsidP="007F0207">
            <w:pPr>
              <w:pStyle w:val="Tabelle"/>
            </w:pPr>
            <w:r w:rsidRPr="00CD527D">
              <w:t>1,2</w:t>
            </w:r>
          </w:p>
        </w:tc>
      </w:tr>
      <w:tr w:rsidR="007F0207" w:rsidRPr="002013FE" w:rsidTr="0096722B">
        <w:trPr>
          <w:trHeight w:val="241"/>
          <w:jc w:val="right"/>
        </w:trPr>
        <w:tc>
          <w:tcPr>
            <w:tcW w:w="1134" w:type="dxa"/>
            <w:vAlign w:val="bottom"/>
          </w:tcPr>
          <w:p w:rsidR="007F0207" w:rsidRPr="00CD527D" w:rsidRDefault="007F0207" w:rsidP="007F0207">
            <w:pPr>
              <w:pStyle w:val="Tabelle"/>
            </w:pPr>
            <w:r w:rsidRPr="00CD527D">
              <w:t>15.07.2017</w:t>
            </w:r>
          </w:p>
        </w:tc>
        <w:tc>
          <w:tcPr>
            <w:tcW w:w="1134" w:type="dxa"/>
            <w:vAlign w:val="bottom"/>
          </w:tcPr>
          <w:p w:rsidR="007F0207" w:rsidRPr="00CD527D" w:rsidRDefault="007F0207" w:rsidP="007F0207">
            <w:pPr>
              <w:pStyle w:val="Tabelle"/>
            </w:pPr>
            <w:r w:rsidRPr="00CD527D">
              <w:t>21,30</w:t>
            </w:r>
          </w:p>
        </w:tc>
        <w:tc>
          <w:tcPr>
            <w:tcW w:w="946" w:type="dxa"/>
            <w:vAlign w:val="bottom"/>
          </w:tcPr>
          <w:p w:rsidR="007F0207" w:rsidRPr="00CD527D" w:rsidRDefault="007F0207" w:rsidP="007F0207">
            <w:pPr>
              <w:pStyle w:val="Tabelle"/>
            </w:pPr>
            <w:r w:rsidRPr="00CD527D">
              <w:t>20,23</w:t>
            </w:r>
          </w:p>
        </w:tc>
        <w:tc>
          <w:tcPr>
            <w:tcW w:w="1181" w:type="dxa"/>
            <w:vAlign w:val="bottom"/>
          </w:tcPr>
          <w:p w:rsidR="007F0207" w:rsidRPr="00CD527D" w:rsidRDefault="007F0207" w:rsidP="007F0207">
            <w:pPr>
              <w:pStyle w:val="Tabelle"/>
            </w:pPr>
            <w:r w:rsidRPr="00CD527D">
              <w:t>21,38</w:t>
            </w:r>
          </w:p>
        </w:tc>
        <w:tc>
          <w:tcPr>
            <w:tcW w:w="850" w:type="dxa"/>
            <w:vAlign w:val="bottom"/>
          </w:tcPr>
          <w:p w:rsidR="007F0207" w:rsidRPr="00CD527D" w:rsidRDefault="007F0207" w:rsidP="007F0207">
            <w:pPr>
              <w:pStyle w:val="Tabelle"/>
            </w:pPr>
            <w:r w:rsidRPr="00CD527D">
              <w:t>21,39</w:t>
            </w:r>
          </w:p>
        </w:tc>
        <w:tc>
          <w:tcPr>
            <w:tcW w:w="992" w:type="dxa"/>
            <w:vAlign w:val="bottom"/>
          </w:tcPr>
          <w:p w:rsidR="007F0207" w:rsidRPr="00CD527D" w:rsidRDefault="007F0207" w:rsidP="007F0207">
            <w:pPr>
              <w:pStyle w:val="Tabelle"/>
            </w:pPr>
            <w:r w:rsidRPr="00CD527D">
              <w:t>21,29</w:t>
            </w:r>
          </w:p>
        </w:tc>
        <w:tc>
          <w:tcPr>
            <w:tcW w:w="851" w:type="dxa"/>
            <w:vAlign w:val="bottom"/>
          </w:tcPr>
          <w:p w:rsidR="007F0207" w:rsidRPr="00CD527D" w:rsidRDefault="007F0207" w:rsidP="007F0207">
            <w:pPr>
              <w:pStyle w:val="Tabelle"/>
            </w:pPr>
            <w:r w:rsidRPr="00CD527D">
              <w:t>20,98</w:t>
            </w:r>
          </w:p>
        </w:tc>
        <w:tc>
          <w:tcPr>
            <w:tcW w:w="851" w:type="dxa"/>
            <w:vAlign w:val="bottom"/>
          </w:tcPr>
          <w:p w:rsidR="007F0207" w:rsidRPr="00CD527D" w:rsidRDefault="007F0207" w:rsidP="007F0207">
            <w:pPr>
              <w:pStyle w:val="Tabelle"/>
            </w:pPr>
            <w:r w:rsidRPr="00CD527D">
              <w:t>21,69</w:t>
            </w:r>
          </w:p>
        </w:tc>
        <w:tc>
          <w:tcPr>
            <w:tcW w:w="851" w:type="dxa"/>
            <w:vAlign w:val="bottom"/>
          </w:tcPr>
          <w:p w:rsidR="007F0207" w:rsidRPr="00CD527D" w:rsidRDefault="007F0207" w:rsidP="007F0207">
            <w:pPr>
              <w:pStyle w:val="Tabelle"/>
            </w:pPr>
            <w:r w:rsidRPr="00CD527D">
              <w:t>22,20</w:t>
            </w:r>
          </w:p>
        </w:tc>
        <w:tc>
          <w:tcPr>
            <w:tcW w:w="851" w:type="dxa"/>
            <w:vAlign w:val="bottom"/>
          </w:tcPr>
          <w:p w:rsidR="007F0207" w:rsidRPr="00CD527D" w:rsidRDefault="007F0207" w:rsidP="007F0207">
            <w:pPr>
              <w:pStyle w:val="Tabelle"/>
            </w:pPr>
            <w:r w:rsidRPr="00CD527D">
              <w:t>1</w:t>
            </w:r>
          </w:p>
        </w:tc>
      </w:tr>
      <w:tr w:rsidR="007F0207" w:rsidRPr="002013FE" w:rsidTr="0096722B">
        <w:trPr>
          <w:trHeight w:val="241"/>
          <w:jc w:val="right"/>
        </w:trPr>
        <w:tc>
          <w:tcPr>
            <w:tcW w:w="1134" w:type="dxa"/>
            <w:vAlign w:val="bottom"/>
          </w:tcPr>
          <w:p w:rsidR="007F0207" w:rsidRPr="00CD527D" w:rsidRDefault="007F0207" w:rsidP="007F0207">
            <w:pPr>
              <w:pStyle w:val="Tabelle"/>
            </w:pPr>
            <w:r w:rsidRPr="00CD527D">
              <w:t>31.07.2017</w:t>
            </w:r>
          </w:p>
        </w:tc>
        <w:tc>
          <w:tcPr>
            <w:tcW w:w="1134" w:type="dxa"/>
            <w:vAlign w:val="bottom"/>
          </w:tcPr>
          <w:p w:rsidR="007F0207" w:rsidRPr="00CD527D" w:rsidRDefault="007F0207" w:rsidP="007F0207">
            <w:pPr>
              <w:pStyle w:val="Tabelle"/>
            </w:pPr>
            <w:r w:rsidRPr="00CD527D">
              <w:t>20,98</w:t>
            </w:r>
          </w:p>
        </w:tc>
        <w:tc>
          <w:tcPr>
            <w:tcW w:w="946" w:type="dxa"/>
            <w:vAlign w:val="bottom"/>
          </w:tcPr>
          <w:p w:rsidR="007F0207" w:rsidRPr="00CD527D" w:rsidRDefault="007F0207" w:rsidP="007F0207">
            <w:pPr>
              <w:pStyle w:val="Tabelle"/>
            </w:pPr>
            <w:r w:rsidRPr="00CD527D">
              <w:t>20,01</w:t>
            </w:r>
          </w:p>
        </w:tc>
        <w:tc>
          <w:tcPr>
            <w:tcW w:w="1181" w:type="dxa"/>
            <w:vAlign w:val="bottom"/>
          </w:tcPr>
          <w:p w:rsidR="007F0207" w:rsidRPr="00CD527D" w:rsidRDefault="007F0207" w:rsidP="007F0207">
            <w:pPr>
              <w:pStyle w:val="Tabelle"/>
            </w:pPr>
            <w:r w:rsidRPr="00CD527D">
              <w:t>20,58</w:t>
            </w:r>
          </w:p>
        </w:tc>
        <w:tc>
          <w:tcPr>
            <w:tcW w:w="850" w:type="dxa"/>
            <w:vAlign w:val="bottom"/>
          </w:tcPr>
          <w:p w:rsidR="007F0207" w:rsidRPr="00CD527D" w:rsidRDefault="007F0207" w:rsidP="007F0207">
            <w:pPr>
              <w:pStyle w:val="Tabelle"/>
            </w:pPr>
            <w:r w:rsidRPr="00CD527D">
              <w:t>20,85</w:t>
            </w:r>
          </w:p>
        </w:tc>
        <w:tc>
          <w:tcPr>
            <w:tcW w:w="992" w:type="dxa"/>
            <w:vAlign w:val="bottom"/>
          </w:tcPr>
          <w:p w:rsidR="007F0207" w:rsidRPr="00CD527D" w:rsidRDefault="007F0207" w:rsidP="007F0207">
            <w:pPr>
              <w:pStyle w:val="Tabelle"/>
            </w:pPr>
            <w:r w:rsidRPr="00CD527D">
              <w:t>20,89</w:t>
            </w:r>
          </w:p>
        </w:tc>
        <w:tc>
          <w:tcPr>
            <w:tcW w:w="851" w:type="dxa"/>
            <w:vAlign w:val="bottom"/>
          </w:tcPr>
          <w:p w:rsidR="007F0207" w:rsidRPr="00CD527D" w:rsidRDefault="007F0207" w:rsidP="007F0207">
            <w:pPr>
              <w:pStyle w:val="Tabelle"/>
            </w:pPr>
            <w:r w:rsidRPr="00CD527D">
              <w:t>20,80</w:t>
            </w:r>
          </w:p>
        </w:tc>
        <w:tc>
          <w:tcPr>
            <w:tcW w:w="851" w:type="dxa"/>
            <w:vAlign w:val="bottom"/>
          </w:tcPr>
          <w:p w:rsidR="007F0207" w:rsidRPr="00CD527D" w:rsidRDefault="007F0207" w:rsidP="007F0207">
            <w:pPr>
              <w:pStyle w:val="Tabelle"/>
            </w:pPr>
            <w:r w:rsidRPr="00CD527D">
              <w:t>21,21</w:t>
            </w:r>
          </w:p>
        </w:tc>
        <w:tc>
          <w:tcPr>
            <w:tcW w:w="851" w:type="dxa"/>
            <w:vAlign w:val="bottom"/>
          </w:tcPr>
          <w:p w:rsidR="007F0207" w:rsidRPr="00CD527D" w:rsidRDefault="007F0207" w:rsidP="007F0207">
            <w:pPr>
              <w:pStyle w:val="Tabelle"/>
            </w:pPr>
            <w:r w:rsidRPr="00CD527D">
              <w:t>21,47</w:t>
            </w:r>
          </w:p>
        </w:tc>
        <w:tc>
          <w:tcPr>
            <w:tcW w:w="851" w:type="dxa"/>
            <w:vAlign w:val="bottom"/>
          </w:tcPr>
          <w:p w:rsidR="007F0207" w:rsidRPr="00CD527D" w:rsidRDefault="007F0207" w:rsidP="007F0207">
            <w:pPr>
              <w:pStyle w:val="Tabelle"/>
            </w:pPr>
            <w:r w:rsidRPr="00CD527D">
              <w:t>1,5</w:t>
            </w:r>
          </w:p>
        </w:tc>
      </w:tr>
      <w:tr w:rsidR="007F0207" w:rsidRPr="002013FE" w:rsidTr="0096722B">
        <w:trPr>
          <w:trHeight w:val="241"/>
          <w:jc w:val="right"/>
        </w:trPr>
        <w:tc>
          <w:tcPr>
            <w:tcW w:w="1134" w:type="dxa"/>
            <w:vAlign w:val="bottom"/>
          </w:tcPr>
          <w:p w:rsidR="007F0207" w:rsidRPr="00CD527D" w:rsidRDefault="007F0207" w:rsidP="007F0207">
            <w:pPr>
              <w:pStyle w:val="Tabelle"/>
            </w:pPr>
            <w:r w:rsidRPr="00CD527D">
              <w:t>09.08.2017</w:t>
            </w:r>
          </w:p>
        </w:tc>
        <w:tc>
          <w:tcPr>
            <w:tcW w:w="1134" w:type="dxa"/>
            <w:vAlign w:val="bottom"/>
          </w:tcPr>
          <w:p w:rsidR="007F0207" w:rsidRPr="00CD527D" w:rsidRDefault="007F0207" w:rsidP="007F0207">
            <w:pPr>
              <w:pStyle w:val="Tabelle"/>
            </w:pPr>
            <w:r w:rsidRPr="00CD527D">
              <w:t>23,02</w:t>
            </w:r>
          </w:p>
        </w:tc>
        <w:tc>
          <w:tcPr>
            <w:tcW w:w="946" w:type="dxa"/>
            <w:vAlign w:val="bottom"/>
          </w:tcPr>
          <w:p w:rsidR="007F0207" w:rsidRPr="00CD527D" w:rsidRDefault="007F0207" w:rsidP="007F0207">
            <w:pPr>
              <w:pStyle w:val="Tabelle"/>
            </w:pPr>
            <w:r w:rsidRPr="00CD527D">
              <w:t>21,85</w:t>
            </w:r>
          </w:p>
        </w:tc>
        <w:tc>
          <w:tcPr>
            <w:tcW w:w="1181" w:type="dxa"/>
            <w:vAlign w:val="bottom"/>
          </w:tcPr>
          <w:p w:rsidR="007F0207" w:rsidRPr="00CD527D" w:rsidRDefault="007F0207" w:rsidP="007F0207">
            <w:pPr>
              <w:pStyle w:val="Tabelle"/>
            </w:pPr>
            <w:r w:rsidRPr="00CD527D">
              <w:t>22,32</w:t>
            </w:r>
          </w:p>
        </w:tc>
        <w:tc>
          <w:tcPr>
            <w:tcW w:w="850" w:type="dxa"/>
            <w:vAlign w:val="bottom"/>
          </w:tcPr>
          <w:p w:rsidR="007F0207" w:rsidRPr="00CD527D" w:rsidRDefault="007F0207" w:rsidP="007F0207">
            <w:pPr>
              <w:pStyle w:val="Tabelle"/>
            </w:pPr>
            <w:r w:rsidRPr="00CD527D">
              <w:t>22,73</w:t>
            </w:r>
          </w:p>
        </w:tc>
        <w:tc>
          <w:tcPr>
            <w:tcW w:w="992" w:type="dxa"/>
            <w:vAlign w:val="bottom"/>
          </w:tcPr>
          <w:p w:rsidR="007F0207" w:rsidRPr="00CD527D" w:rsidRDefault="007F0207" w:rsidP="007F0207">
            <w:pPr>
              <w:pStyle w:val="Tabelle"/>
            </w:pPr>
            <w:r w:rsidRPr="00CD527D">
              <w:t>22,71</w:t>
            </w:r>
          </w:p>
        </w:tc>
        <w:tc>
          <w:tcPr>
            <w:tcW w:w="851" w:type="dxa"/>
            <w:vAlign w:val="bottom"/>
          </w:tcPr>
          <w:p w:rsidR="007F0207" w:rsidRPr="00CD527D" w:rsidRDefault="007F0207" w:rsidP="007F0207">
            <w:pPr>
              <w:pStyle w:val="Tabelle"/>
            </w:pPr>
            <w:r w:rsidRPr="00CD527D">
              <w:t>22,69</w:t>
            </w:r>
          </w:p>
        </w:tc>
        <w:tc>
          <w:tcPr>
            <w:tcW w:w="851" w:type="dxa"/>
            <w:vAlign w:val="bottom"/>
          </w:tcPr>
          <w:p w:rsidR="007F0207" w:rsidRPr="00CD527D" w:rsidRDefault="007F0207" w:rsidP="007F0207">
            <w:pPr>
              <w:pStyle w:val="Tabelle"/>
            </w:pPr>
            <w:r w:rsidRPr="00CD527D">
              <w:t>22,96</w:t>
            </w:r>
          </w:p>
        </w:tc>
        <w:tc>
          <w:tcPr>
            <w:tcW w:w="851" w:type="dxa"/>
            <w:vAlign w:val="bottom"/>
          </w:tcPr>
          <w:p w:rsidR="007F0207" w:rsidRPr="00CD527D" w:rsidRDefault="007F0207" w:rsidP="007F0207">
            <w:pPr>
              <w:pStyle w:val="Tabelle"/>
            </w:pPr>
            <w:r w:rsidRPr="00CD527D">
              <w:t>23,29</w:t>
            </w:r>
          </w:p>
        </w:tc>
        <w:tc>
          <w:tcPr>
            <w:tcW w:w="851" w:type="dxa"/>
            <w:vAlign w:val="bottom"/>
          </w:tcPr>
          <w:p w:rsidR="007F0207" w:rsidRPr="00CD527D" w:rsidRDefault="007F0207" w:rsidP="007F0207">
            <w:pPr>
              <w:pStyle w:val="Tabelle"/>
            </w:pPr>
            <w:r w:rsidRPr="00CD527D">
              <w:t>1,5</w:t>
            </w:r>
          </w:p>
        </w:tc>
      </w:tr>
      <w:tr w:rsidR="007F0207" w:rsidRPr="002013FE" w:rsidTr="0096722B">
        <w:trPr>
          <w:trHeight w:val="241"/>
          <w:jc w:val="right"/>
        </w:trPr>
        <w:tc>
          <w:tcPr>
            <w:tcW w:w="1134" w:type="dxa"/>
            <w:vAlign w:val="center"/>
          </w:tcPr>
          <w:p w:rsidR="007F0207" w:rsidRPr="00CD527D" w:rsidRDefault="007F0207" w:rsidP="007F0207">
            <w:pPr>
              <w:pStyle w:val="Tabelle"/>
            </w:pPr>
            <w:r w:rsidRPr="00CD527D">
              <w:t>Jahresdurchschnitt</w:t>
            </w:r>
          </w:p>
        </w:tc>
        <w:tc>
          <w:tcPr>
            <w:tcW w:w="1134" w:type="dxa"/>
            <w:vAlign w:val="center"/>
          </w:tcPr>
          <w:p w:rsidR="007F0207" w:rsidRPr="00CD527D" w:rsidRDefault="007F0207" w:rsidP="007F0207">
            <w:pPr>
              <w:pStyle w:val="Tabelle"/>
            </w:pPr>
            <w:r w:rsidRPr="00CD527D">
              <w:t>19,40</w:t>
            </w:r>
          </w:p>
        </w:tc>
        <w:tc>
          <w:tcPr>
            <w:tcW w:w="946" w:type="dxa"/>
            <w:vAlign w:val="center"/>
          </w:tcPr>
          <w:p w:rsidR="007F0207" w:rsidRPr="00CD527D" w:rsidRDefault="007F0207" w:rsidP="007F0207">
            <w:pPr>
              <w:pStyle w:val="Tabelle"/>
            </w:pPr>
            <w:r w:rsidRPr="00CD527D">
              <w:t>18,94</w:t>
            </w:r>
          </w:p>
        </w:tc>
        <w:tc>
          <w:tcPr>
            <w:tcW w:w="1181" w:type="dxa"/>
            <w:vAlign w:val="center"/>
          </w:tcPr>
          <w:p w:rsidR="007F0207" w:rsidRPr="00CD527D" w:rsidRDefault="007F0207" w:rsidP="007F0207">
            <w:pPr>
              <w:pStyle w:val="Tabelle"/>
            </w:pPr>
            <w:r w:rsidRPr="00CD527D">
              <w:t>19,68</w:t>
            </w:r>
          </w:p>
        </w:tc>
        <w:tc>
          <w:tcPr>
            <w:tcW w:w="850" w:type="dxa"/>
            <w:vAlign w:val="center"/>
          </w:tcPr>
          <w:p w:rsidR="007F0207" w:rsidRPr="00CD527D" w:rsidRDefault="007F0207" w:rsidP="007F0207">
            <w:pPr>
              <w:pStyle w:val="Tabelle"/>
            </w:pPr>
            <w:r w:rsidRPr="00CD527D">
              <w:t>19,52</w:t>
            </w:r>
          </w:p>
        </w:tc>
        <w:tc>
          <w:tcPr>
            <w:tcW w:w="992" w:type="dxa"/>
            <w:vAlign w:val="center"/>
          </w:tcPr>
          <w:p w:rsidR="007F0207" w:rsidRPr="00CD527D" w:rsidRDefault="007F0207" w:rsidP="007F0207">
            <w:pPr>
              <w:pStyle w:val="Tabelle"/>
            </w:pPr>
            <w:r w:rsidRPr="00CD527D">
              <w:t>19,58</w:t>
            </w:r>
          </w:p>
        </w:tc>
        <w:tc>
          <w:tcPr>
            <w:tcW w:w="851" w:type="dxa"/>
            <w:vAlign w:val="center"/>
          </w:tcPr>
          <w:p w:rsidR="007F0207" w:rsidRPr="00CD527D" w:rsidRDefault="007F0207" w:rsidP="007F0207">
            <w:pPr>
              <w:pStyle w:val="Tabelle"/>
            </w:pPr>
            <w:r w:rsidRPr="00CD527D">
              <w:t>20,00</w:t>
            </w:r>
          </w:p>
        </w:tc>
        <w:tc>
          <w:tcPr>
            <w:tcW w:w="851" w:type="dxa"/>
            <w:vAlign w:val="center"/>
          </w:tcPr>
          <w:p w:rsidR="007F0207" w:rsidRPr="00CD527D" w:rsidRDefault="007F0207" w:rsidP="007F0207">
            <w:pPr>
              <w:pStyle w:val="Tabelle"/>
            </w:pPr>
            <w:r w:rsidRPr="00CD527D">
              <w:t>20,01</w:t>
            </w:r>
          </w:p>
        </w:tc>
        <w:tc>
          <w:tcPr>
            <w:tcW w:w="851" w:type="dxa"/>
            <w:vAlign w:val="center"/>
          </w:tcPr>
          <w:p w:rsidR="007F0207" w:rsidRPr="00CD527D" w:rsidRDefault="007F0207" w:rsidP="007F0207">
            <w:pPr>
              <w:pStyle w:val="Tabelle"/>
            </w:pPr>
            <w:r w:rsidRPr="00CD527D">
              <w:t>19,96</w:t>
            </w:r>
          </w:p>
        </w:tc>
        <w:tc>
          <w:tcPr>
            <w:tcW w:w="851" w:type="dxa"/>
            <w:vAlign w:val="center"/>
          </w:tcPr>
          <w:p w:rsidR="007F0207" w:rsidRPr="00CD527D" w:rsidRDefault="007F0207" w:rsidP="007F0207">
            <w:pPr>
              <w:pStyle w:val="Tabelle"/>
            </w:pPr>
          </w:p>
        </w:tc>
      </w:tr>
      <w:tr w:rsidR="007F0207" w:rsidRPr="002013FE" w:rsidTr="0096722B">
        <w:trPr>
          <w:trHeight w:val="241"/>
          <w:jc w:val="right"/>
        </w:trPr>
        <w:tc>
          <w:tcPr>
            <w:tcW w:w="1134" w:type="dxa"/>
            <w:vAlign w:val="center"/>
          </w:tcPr>
          <w:p w:rsidR="007F0207" w:rsidRPr="00CD527D" w:rsidRDefault="007F0207" w:rsidP="007F0207">
            <w:pPr>
              <w:pStyle w:val="Tabelle"/>
            </w:pPr>
            <w:r w:rsidRPr="00CD527D">
              <w:t>Entfernung zur Mur in m</w:t>
            </w:r>
          </w:p>
        </w:tc>
        <w:tc>
          <w:tcPr>
            <w:tcW w:w="1134" w:type="dxa"/>
            <w:vAlign w:val="center"/>
          </w:tcPr>
          <w:p w:rsidR="007F0207" w:rsidRPr="00CD527D" w:rsidRDefault="007F0207" w:rsidP="007F0207">
            <w:pPr>
              <w:pStyle w:val="Tabelle"/>
            </w:pPr>
            <w:r w:rsidRPr="00CD527D">
              <w:t>280</w:t>
            </w:r>
          </w:p>
        </w:tc>
        <w:tc>
          <w:tcPr>
            <w:tcW w:w="946" w:type="dxa"/>
            <w:vAlign w:val="center"/>
          </w:tcPr>
          <w:p w:rsidR="007F0207" w:rsidRPr="00CD527D" w:rsidRDefault="007F0207" w:rsidP="007F0207">
            <w:pPr>
              <w:pStyle w:val="Tabelle"/>
            </w:pPr>
            <w:r w:rsidRPr="00CD527D">
              <w:t>380</w:t>
            </w:r>
          </w:p>
        </w:tc>
        <w:tc>
          <w:tcPr>
            <w:tcW w:w="1181" w:type="dxa"/>
            <w:vAlign w:val="center"/>
          </w:tcPr>
          <w:p w:rsidR="007F0207" w:rsidRPr="00CD527D" w:rsidRDefault="007F0207" w:rsidP="007F0207">
            <w:pPr>
              <w:pStyle w:val="Tabelle"/>
            </w:pPr>
            <w:r w:rsidRPr="00CD527D">
              <w:t>540</w:t>
            </w:r>
          </w:p>
        </w:tc>
        <w:tc>
          <w:tcPr>
            <w:tcW w:w="850" w:type="dxa"/>
            <w:vAlign w:val="center"/>
          </w:tcPr>
          <w:p w:rsidR="007F0207" w:rsidRPr="00CD527D" w:rsidRDefault="007F0207" w:rsidP="007F0207">
            <w:pPr>
              <w:pStyle w:val="Tabelle"/>
            </w:pPr>
            <w:r w:rsidRPr="00CD527D">
              <w:t>1130</w:t>
            </w:r>
          </w:p>
        </w:tc>
        <w:tc>
          <w:tcPr>
            <w:tcW w:w="992" w:type="dxa"/>
            <w:vAlign w:val="center"/>
          </w:tcPr>
          <w:p w:rsidR="007F0207" w:rsidRPr="00CD527D" w:rsidRDefault="007F0207" w:rsidP="007F0207">
            <w:pPr>
              <w:pStyle w:val="Tabelle"/>
            </w:pPr>
            <w:r w:rsidRPr="00CD527D">
              <w:t>1340</w:t>
            </w:r>
          </w:p>
        </w:tc>
        <w:tc>
          <w:tcPr>
            <w:tcW w:w="851" w:type="dxa"/>
            <w:vAlign w:val="center"/>
          </w:tcPr>
          <w:p w:rsidR="007F0207" w:rsidRPr="00CD527D" w:rsidRDefault="007F0207" w:rsidP="007F0207">
            <w:pPr>
              <w:pStyle w:val="Tabelle"/>
            </w:pPr>
            <w:r w:rsidRPr="00CD527D">
              <w:t>1590</w:t>
            </w:r>
          </w:p>
        </w:tc>
        <w:tc>
          <w:tcPr>
            <w:tcW w:w="851" w:type="dxa"/>
            <w:vAlign w:val="center"/>
          </w:tcPr>
          <w:p w:rsidR="007F0207" w:rsidRPr="00CD527D" w:rsidRDefault="007F0207" w:rsidP="007F0207">
            <w:pPr>
              <w:pStyle w:val="Tabelle"/>
            </w:pPr>
            <w:r w:rsidRPr="00CD527D">
              <w:t>1620</w:t>
            </w:r>
          </w:p>
        </w:tc>
        <w:tc>
          <w:tcPr>
            <w:tcW w:w="851" w:type="dxa"/>
            <w:vAlign w:val="center"/>
          </w:tcPr>
          <w:p w:rsidR="007F0207" w:rsidRPr="00CD527D" w:rsidRDefault="007F0207" w:rsidP="007F0207">
            <w:pPr>
              <w:pStyle w:val="Tabelle"/>
            </w:pPr>
            <w:r w:rsidRPr="00CD527D">
              <w:t>1830</w:t>
            </w:r>
          </w:p>
        </w:tc>
        <w:tc>
          <w:tcPr>
            <w:tcW w:w="851" w:type="dxa"/>
            <w:vAlign w:val="center"/>
          </w:tcPr>
          <w:p w:rsidR="007F0207" w:rsidRPr="00CD527D" w:rsidRDefault="007F0207" w:rsidP="007F0207">
            <w:pPr>
              <w:pStyle w:val="Tabelle"/>
            </w:pPr>
          </w:p>
        </w:tc>
      </w:tr>
    </w:tbl>
    <w:p w:rsidR="007F0207" w:rsidRPr="007F0207" w:rsidRDefault="007F0207" w:rsidP="007F0207">
      <w:pPr>
        <w:pStyle w:val="Tabelle"/>
        <w:rPr>
          <w:lang w:val="de-AT" w:eastAsia="ja-JP"/>
        </w:rPr>
      </w:pPr>
    </w:p>
    <w:p w:rsidR="00402D84" w:rsidRPr="00081D4E" w:rsidRDefault="007F0207" w:rsidP="00081D4E">
      <w:pPr>
        <w:pStyle w:val="Flietext"/>
        <w:jc w:val="both"/>
        <w:rPr>
          <w:color w:val="auto"/>
        </w:rPr>
      </w:pPr>
      <w:r>
        <w:rPr>
          <w:color w:val="auto"/>
        </w:rPr>
        <w:t>I</w:t>
      </w:r>
      <w:r w:rsidR="00402D84" w:rsidRPr="00081D4E">
        <w:rPr>
          <w:color w:val="auto"/>
        </w:rPr>
        <w:t xml:space="preserve">m Jahr 2017 wurden bei sämtlichen angewandten Auswertungsmethoden deutlich Zusammenhänge ersichtlich: Sowohl die Erhebung des Käferschlupfes in den Photoeklektoren, als auch der Käferfänge mit transparenten Fangtafeln und der Lagerung des Maises zeigten höhere Käferzahlen bzw. stärkere Lagerung mit zunehmender Entfernung zu Mur, entsprechend schlechterer Grundwasserversorgung. Eine Filterung der Daten nach der Art der Pflanzenschutzmaßnahme (Dianem, Belem, keine Behandlung) und der Bodentemperatur zeigten dieselbe Tendenz. So bestätigten sämtliche Versuchsparameter die Wasserversorgung der Kultur als ausschlaggebenden Faktor. Bei einer Filterung der Daten nach Maissorten zeigte die Sorte Ferarixx auch an Murfernen Standorten gute Standfestigkeit und geringen Schäden durch </w:t>
      </w:r>
      <w:r w:rsidR="00402D84" w:rsidRPr="00081D4E">
        <w:rPr>
          <w:i/>
          <w:color w:val="auto"/>
        </w:rPr>
        <w:t>D. virgifera</w:t>
      </w:r>
      <w:r w:rsidR="00402D84" w:rsidRPr="00081D4E">
        <w:rPr>
          <w:color w:val="auto"/>
        </w:rPr>
        <w:t xml:space="preserve">. Die Sorten MAS 40F und MAS 47 P performten in Murnähe sehr gut, reagierten jedoch mit starken Lagerungsschäden an trockenen Lagen mit starkem Käferdruck. Wichtig ist daher die Wahl von Maissorten, die auch mit Trockenheit gut zurechtkommen. </w:t>
      </w:r>
    </w:p>
    <w:p w:rsidR="00402D84" w:rsidRPr="00081D4E" w:rsidRDefault="00402D84" w:rsidP="00081D4E">
      <w:pPr>
        <w:pStyle w:val="Flietext"/>
        <w:jc w:val="both"/>
        <w:rPr>
          <w:color w:val="auto"/>
        </w:rPr>
      </w:pPr>
      <w:r w:rsidRPr="00081D4E">
        <w:rPr>
          <w:color w:val="auto"/>
        </w:rPr>
        <w:t xml:space="preserve">In den beiden Versuchsfeldern mit direktem Variantenvergleich, lagen die Käferdichten in unbehandelten Flächen Standort- und Sortenabhängig bei durchschnittlich 67 - 87 Individuen pro m². Nach Einsatz von Dianem konnten die Käfer am Standort Schwarza V mit der Sorte MAS 40 F um 9,6 % gegenüber der unbehandelten Kontrolle und um 15,2 % gegenüber der Belem-Variante reduziert werden. Resultierend in einem relativen Ernteertrag von 119% (UK 107 %, Belem 74 %). Am Standort Lichendorf V mit der Sorte Ferarixx reduzierte sich der Käferschlupf um 70,6 % gegenüber der unbehandelten Kontrolle und um 59,6 % gegenüber der Belem-Variante. Resultierend in einem relativen Ernteertrag von 110% (UK 94 %, Belem 96 %). </w:t>
      </w:r>
    </w:p>
    <w:p w:rsidR="00402D84" w:rsidRPr="003D676C" w:rsidRDefault="00402D84" w:rsidP="00402D84">
      <w:pPr>
        <w:pStyle w:val="Tabelle"/>
      </w:pPr>
    </w:p>
    <w:p w:rsidR="00402D84" w:rsidRPr="007B0160" w:rsidRDefault="00402D84" w:rsidP="00402D84">
      <w:pPr>
        <w:pStyle w:val="1Unterkapitel"/>
        <w:ind w:left="576"/>
        <w:rPr>
          <w:color w:val="auto"/>
        </w:rPr>
      </w:pPr>
      <w:bookmarkStart w:id="207" w:name="_Toc533059360"/>
      <w:bookmarkStart w:id="208" w:name="_Toc7715599"/>
      <w:r w:rsidRPr="007B0160">
        <w:rPr>
          <w:color w:val="auto"/>
        </w:rPr>
        <w:t>Datenerhebung mittels Fragebogen</w:t>
      </w:r>
      <w:bookmarkEnd w:id="207"/>
      <w:bookmarkEnd w:id="208"/>
      <w:r w:rsidRPr="007B0160">
        <w:rPr>
          <w:color w:val="auto"/>
        </w:rPr>
        <w:t xml:space="preserve"> </w:t>
      </w:r>
    </w:p>
    <w:p w:rsidR="00402D84" w:rsidRPr="006571DA" w:rsidRDefault="00402D84" w:rsidP="006571DA">
      <w:pPr>
        <w:pStyle w:val="Flietext"/>
        <w:jc w:val="both"/>
      </w:pPr>
      <w:r w:rsidRPr="006571DA">
        <w:t xml:space="preserve">Vorweg sei festgehalten, dass die Daten der Fragebogenauswertung die subjektive Wahrnehmung der befragten Landwirte widerspiegelt. Der „Gewöhnungseffekt“ an den Schädling spielt hier sicherlich eine Rolle. Die Abschätzung von Maiswurzelbohrerdruck und Befallsstärke wird vorwiegend im Verhältnis zu den Vorjahren und den eigenen Feldern gesehen. </w:t>
      </w:r>
    </w:p>
    <w:p w:rsidR="00402D84" w:rsidRPr="006571DA" w:rsidRDefault="00402D84" w:rsidP="006571DA">
      <w:pPr>
        <w:pStyle w:val="Flietext"/>
        <w:jc w:val="both"/>
      </w:pPr>
      <w:r w:rsidRPr="006571DA">
        <w:t xml:space="preserve">101 Datensätze von 11 Maisbauern wurden in den Jahren 2015 bis 2017 gesammelt. Nicht alle Fragestellungen bzw. Kombinationen von Auswertungen umfassen dieselben Datensätze, da die Fragebögen nicht immer vollständig ausgefüllt wurden. Aus Datenschutzgründen sind nur wenige Standorte der Äcker bekannt, was die Aussage über den Zusammenhang mit der genauen Bodenbeschaffenheit schmälert. </w:t>
      </w:r>
    </w:p>
    <w:p w:rsidR="00A35242" w:rsidRDefault="00402D84" w:rsidP="006571DA">
      <w:pPr>
        <w:pStyle w:val="Flietext"/>
        <w:jc w:val="both"/>
      </w:pPr>
      <w:r w:rsidRPr="006571DA">
        <w:t>Die Auswertung der angewandten Pflanzenschutzmaßnahmen im Beobachtungszeitraum 2015 bis 2017 zeigte</w:t>
      </w:r>
      <w:r w:rsidRPr="001D3CB3">
        <w:t xml:space="preserve"> eine gute Annahme der biologischen Bekämpfungsmethode des Maisschädlings (</w:t>
      </w:r>
      <w:r w:rsidRPr="001D3CB3">
        <w:fldChar w:fldCharType="begin"/>
      </w:r>
      <w:r w:rsidRPr="001D3CB3">
        <w:instrText xml:space="preserve"> REF _Ref533059488 \h </w:instrText>
      </w:r>
      <w:r w:rsidR="00081D4E" w:rsidRPr="001D3CB3">
        <w:instrText xml:space="preserve"> \* MERGEFORMAT </w:instrText>
      </w:r>
      <w:r w:rsidRPr="001D3CB3">
        <w:fldChar w:fldCharType="separate"/>
      </w:r>
      <w:r w:rsidR="00081D4E" w:rsidRPr="001D3CB3">
        <w:t xml:space="preserve">Tabelle </w:t>
      </w:r>
      <w:r w:rsidR="00081D4E" w:rsidRPr="001D3CB3">
        <w:rPr>
          <w:noProof/>
        </w:rPr>
        <w:t>7</w:t>
      </w:r>
      <w:r w:rsidRPr="001D3CB3">
        <w:fldChar w:fldCharType="end"/>
      </w:r>
      <w:r w:rsidRPr="001D3CB3">
        <w:t>): Insgesamt 90 % der befragten Landwirte setzten Dianem solo oder in Kombination mit einer weiteren</w:t>
      </w:r>
      <w:r>
        <w:t xml:space="preserve"> Bekämpfungsmaßnahme (Bodenbearbeitung, Einsatz der Insektizide Biscaya bzw. Mospilan gegen den adulten Käfer, Verwirrung mit dem Pheromonprodukt</w:t>
      </w:r>
      <w:r w:rsidRPr="00081D4E">
        <w:rPr>
          <w:color w:val="auto"/>
        </w:rPr>
        <w:t xml:space="preserve"> Corn Protect</w:t>
      </w:r>
      <w:r>
        <w:t xml:space="preserve">) ein. In 43 % der Fälle wurde nach Einsatz von Dianem dasselbe Produkt auch im Folgejahr eingesetzt. Nur 1 % war mit dem Bekämpfungserfolg Dianems nicht überzeugt und wechselte (trotz fehlendem Befallsdruck) zur chemischen Alternative Belem. Bei 24 % wurde eine im Vorjahr durchgeführte zusätzliche Spritzung mit Insektiziden aus der Gruppe der Neonikotinoide gegen adulte Käfer im Folgejahr weggelassen; bei 9 % musste die zusätzliche Spritzung </w:t>
      </w:r>
      <w:r w:rsidRPr="00F346BC">
        <w:rPr>
          <w:color w:val="000000" w:themeColor="text1"/>
        </w:rPr>
        <w:t xml:space="preserve">wegen hohen Käferdruckes </w:t>
      </w:r>
      <w:r>
        <w:t xml:space="preserve">beibehalten werden. In 12 % der Fälle wurde erstmals eine Bekämpfungsmaßnahme notwendig. Dabei entschieden sich 11 % für biologische Varianten (10 % Dianem, 1 % Dianem + Mechanische Bodenbearbeitung) und 1 % für die chemische Alternative Belem. </w:t>
      </w:r>
    </w:p>
    <w:p w:rsidR="00A35242" w:rsidRDefault="00A35242">
      <w:pPr>
        <w:rPr>
          <w:color w:val="000000"/>
        </w:rPr>
      </w:pPr>
      <w:r>
        <w:br w:type="page"/>
      </w:r>
    </w:p>
    <w:p w:rsidR="005F05F8" w:rsidRDefault="00402D84" w:rsidP="005F05F8">
      <w:pPr>
        <w:pStyle w:val="Tabellentitel"/>
      </w:pPr>
      <w:bookmarkStart w:id="209" w:name="_Ref533059488"/>
      <w:bookmarkStart w:id="210" w:name="_Toc533059376"/>
      <w:bookmarkStart w:id="211" w:name="_Toc7715388"/>
      <w:r>
        <w:t xml:space="preserve">Tabelle </w:t>
      </w:r>
      <w:r>
        <w:rPr>
          <w:noProof/>
        </w:rPr>
        <w:fldChar w:fldCharType="begin"/>
      </w:r>
      <w:r>
        <w:rPr>
          <w:noProof/>
        </w:rPr>
        <w:instrText xml:space="preserve"> SEQ Tabelle \* ARABIC </w:instrText>
      </w:r>
      <w:r>
        <w:rPr>
          <w:noProof/>
        </w:rPr>
        <w:fldChar w:fldCharType="separate"/>
      </w:r>
      <w:r w:rsidR="00081D4E">
        <w:rPr>
          <w:noProof/>
        </w:rPr>
        <w:t>7</w:t>
      </w:r>
      <w:r>
        <w:rPr>
          <w:noProof/>
        </w:rPr>
        <w:fldChar w:fldCharType="end"/>
      </w:r>
      <w:bookmarkEnd w:id="209"/>
      <w:r>
        <w:t>:Bekämpfungsmethode des Maiswurzelbohrers im Vergleich zur Vorjahresbehandlung</w:t>
      </w:r>
      <w:bookmarkEnd w:id="210"/>
      <w:bookmarkEnd w:id="211"/>
    </w:p>
    <w:tbl>
      <w:tblPr>
        <w:tblW w:w="9639" w:type="dxa"/>
        <w:jc w:val="right"/>
        <w:tblBorders>
          <w:insideH w:val="single" w:sz="2" w:space="0" w:color="auto"/>
          <w:insideV w:val="single" w:sz="2" w:space="0" w:color="auto"/>
        </w:tblBorders>
        <w:tblLayout w:type="fixed"/>
        <w:tblLook w:val="06A0" w:firstRow="1" w:lastRow="0" w:firstColumn="1" w:lastColumn="0" w:noHBand="1" w:noVBand="1"/>
      </w:tblPr>
      <w:tblGrid>
        <w:gridCol w:w="1134"/>
        <w:gridCol w:w="1134"/>
        <w:gridCol w:w="946"/>
        <w:gridCol w:w="1889"/>
        <w:gridCol w:w="1418"/>
        <w:gridCol w:w="1701"/>
        <w:gridCol w:w="1417"/>
      </w:tblGrid>
      <w:tr w:rsidR="005F05F8" w:rsidRPr="002013FE" w:rsidTr="005F05F8">
        <w:trPr>
          <w:trHeight w:val="241"/>
          <w:jc w:val="right"/>
        </w:trPr>
        <w:tc>
          <w:tcPr>
            <w:tcW w:w="1134" w:type="dxa"/>
            <w:shd w:val="clear" w:color="auto" w:fill="auto"/>
            <w:vAlign w:val="center"/>
            <w:hideMark/>
          </w:tcPr>
          <w:p w:rsidR="005F05F8" w:rsidRPr="002013FE" w:rsidRDefault="005F05F8" w:rsidP="005F05F8">
            <w:pPr>
              <w:rPr>
                <w:rFonts w:eastAsia="Times New Roman"/>
                <w:b/>
                <w:color w:val="2869A1"/>
                <w:lang w:val="de-DE" w:eastAsia="de-DE"/>
              </w:rPr>
            </w:pPr>
          </w:p>
        </w:tc>
        <w:tc>
          <w:tcPr>
            <w:tcW w:w="1134" w:type="dxa"/>
            <w:shd w:val="clear" w:color="auto" w:fill="auto"/>
            <w:vAlign w:val="center"/>
            <w:hideMark/>
          </w:tcPr>
          <w:p w:rsidR="005F05F8" w:rsidRPr="002013FE" w:rsidRDefault="005F05F8" w:rsidP="005F05F8">
            <w:pPr>
              <w:jc w:val="right"/>
              <w:rPr>
                <w:rFonts w:eastAsia="Times New Roman"/>
                <w:b/>
                <w:color w:val="2869A1"/>
                <w:lang w:val="de-DE" w:eastAsia="de-DE"/>
              </w:rPr>
            </w:pPr>
            <w:r>
              <w:rPr>
                <w:rFonts w:eastAsia="Times New Roman"/>
                <w:b/>
                <w:color w:val="2869A1"/>
                <w:lang w:val="de-DE" w:eastAsia="de-DE"/>
              </w:rPr>
              <w:t>Belem</w:t>
            </w:r>
            <w:r w:rsidRPr="002013FE">
              <w:rPr>
                <w:rFonts w:eastAsia="Times New Roman"/>
                <w:b/>
                <w:color w:val="2869A1"/>
                <w:lang w:val="de-DE" w:eastAsia="de-DE"/>
              </w:rPr>
              <w:t xml:space="preserve"> </w:t>
            </w:r>
          </w:p>
        </w:tc>
        <w:tc>
          <w:tcPr>
            <w:tcW w:w="946" w:type="dxa"/>
            <w:shd w:val="clear" w:color="auto" w:fill="auto"/>
            <w:vAlign w:val="center"/>
            <w:hideMark/>
          </w:tcPr>
          <w:p w:rsidR="005F05F8" w:rsidRPr="002013FE" w:rsidRDefault="005F05F8" w:rsidP="005F05F8">
            <w:pPr>
              <w:jc w:val="right"/>
              <w:rPr>
                <w:rFonts w:eastAsia="Times New Roman"/>
                <w:b/>
                <w:color w:val="2869A1"/>
                <w:lang w:val="de-DE" w:eastAsia="de-DE"/>
              </w:rPr>
            </w:pPr>
            <w:r>
              <w:rPr>
                <w:rFonts w:eastAsia="Times New Roman"/>
                <w:b/>
                <w:color w:val="2869A1"/>
                <w:lang w:val="de-DE" w:eastAsia="de-DE"/>
              </w:rPr>
              <w:t>Dianem</w:t>
            </w:r>
          </w:p>
        </w:tc>
        <w:tc>
          <w:tcPr>
            <w:tcW w:w="1889" w:type="dxa"/>
            <w:vAlign w:val="center"/>
          </w:tcPr>
          <w:p w:rsidR="005F05F8" w:rsidRPr="002013FE" w:rsidRDefault="005F05F8" w:rsidP="005F05F8">
            <w:pPr>
              <w:jc w:val="right"/>
              <w:rPr>
                <w:rFonts w:eastAsia="Times New Roman"/>
                <w:b/>
                <w:color w:val="2869A1"/>
                <w:lang w:val="de-DE" w:eastAsia="de-DE"/>
              </w:rPr>
            </w:pPr>
            <w:r w:rsidRPr="00B376C1">
              <w:rPr>
                <w:rFonts w:eastAsia="Times New Roman"/>
                <w:b/>
                <w:color w:val="2869A1"/>
              </w:rPr>
              <w:t>Dianem + mechanische Bodenbearbeitung</w:t>
            </w:r>
          </w:p>
        </w:tc>
        <w:tc>
          <w:tcPr>
            <w:tcW w:w="1418" w:type="dxa"/>
            <w:vAlign w:val="center"/>
          </w:tcPr>
          <w:p w:rsidR="005F05F8" w:rsidRPr="002013FE" w:rsidRDefault="005F05F8" w:rsidP="005F05F8">
            <w:pPr>
              <w:jc w:val="right"/>
              <w:rPr>
                <w:rFonts w:eastAsia="Times New Roman"/>
                <w:b/>
                <w:color w:val="2869A1"/>
                <w:lang w:val="de-DE" w:eastAsia="de-DE"/>
              </w:rPr>
            </w:pPr>
            <w:r w:rsidRPr="00B376C1">
              <w:rPr>
                <w:rFonts w:eastAsia="Times New Roman"/>
                <w:b/>
                <w:color w:val="2869A1"/>
              </w:rPr>
              <w:t>Dianem + Verwirrung</w:t>
            </w:r>
          </w:p>
        </w:tc>
        <w:tc>
          <w:tcPr>
            <w:tcW w:w="1701" w:type="dxa"/>
            <w:vAlign w:val="center"/>
          </w:tcPr>
          <w:p w:rsidR="005F05F8" w:rsidRPr="002013FE" w:rsidRDefault="005F05F8" w:rsidP="005F05F8">
            <w:pPr>
              <w:jc w:val="right"/>
              <w:rPr>
                <w:rFonts w:eastAsia="Times New Roman"/>
                <w:b/>
                <w:color w:val="2869A1"/>
                <w:lang w:val="de-DE" w:eastAsia="de-DE"/>
              </w:rPr>
            </w:pPr>
            <w:r w:rsidRPr="00B376C1">
              <w:rPr>
                <w:rFonts w:eastAsia="Times New Roman"/>
                <w:b/>
                <w:color w:val="2869A1"/>
              </w:rPr>
              <w:t>Dianem + Insektizid (Neonikotinoid)</w:t>
            </w:r>
          </w:p>
        </w:tc>
        <w:tc>
          <w:tcPr>
            <w:tcW w:w="1417" w:type="dxa"/>
            <w:vAlign w:val="center"/>
          </w:tcPr>
          <w:p w:rsidR="005F05F8" w:rsidRPr="002013FE" w:rsidRDefault="005F05F8" w:rsidP="005F05F8">
            <w:pPr>
              <w:jc w:val="right"/>
              <w:rPr>
                <w:rFonts w:eastAsia="Times New Roman"/>
                <w:b/>
                <w:color w:val="2869A1"/>
                <w:lang w:val="de-DE" w:eastAsia="de-DE"/>
              </w:rPr>
            </w:pPr>
            <w:r w:rsidRPr="00B376C1">
              <w:rPr>
                <w:rFonts w:eastAsia="Times New Roman"/>
                <w:b/>
                <w:color w:val="2869A1"/>
              </w:rPr>
              <w:t>keine Behandlung</w:t>
            </w:r>
          </w:p>
        </w:tc>
      </w:tr>
      <w:tr w:rsidR="005F05F8" w:rsidRPr="002013FE" w:rsidTr="005F05F8">
        <w:trPr>
          <w:trHeight w:val="241"/>
          <w:jc w:val="right"/>
        </w:trPr>
        <w:tc>
          <w:tcPr>
            <w:tcW w:w="1134" w:type="dxa"/>
            <w:shd w:val="clear" w:color="auto" w:fill="auto"/>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Dianem</w:t>
            </w:r>
          </w:p>
        </w:tc>
        <w:tc>
          <w:tcPr>
            <w:tcW w:w="1134" w:type="dxa"/>
            <w:shd w:val="clear" w:color="auto" w:fill="auto"/>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1</w:t>
            </w:r>
          </w:p>
        </w:tc>
        <w:tc>
          <w:tcPr>
            <w:tcW w:w="946" w:type="dxa"/>
            <w:shd w:val="clear" w:color="auto" w:fill="auto"/>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32</w:t>
            </w:r>
          </w:p>
        </w:tc>
        <w:tc>
          <w:tcPr>
            <w:tcW w:w="1889" w:type="dxa"/>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0</w:t>
            </w:r>
          </w:p>
        </w:tc>
        <w:tc>
          <w:tcPr>
            <w:tcW w:w="1418" w:type="dxa"/>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1</w:t>
            </w:r>
          </w:p>
        </w:tc>
        <w:tc>
          <w:tcPr>
            <w:tcW w:w="1701" w:type="dxa"/>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0</w:t>
            </w:r>
          </w:p>
        </w:tc>
        <w:tc>
          <w:tcPr>
            <w:tcW w:w="1417" w:type="dxa"/>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0</w:t>
            </w:r>
          </w:p>
        </w:tc>
      </w:tr>
      <w:tr w:rsidR="005F05F8" w:rsidRPr="002013FE" w:rsidTr="005F05F8">
        <w:trPr>
          <w:trHeight w:val="241"/>
          <w:jc w:val="right"/>
        </w:trPr>
        <w:tc>
          <w:tcPr>
            <w:tcW w:w="1134" w:type="dxa"/>
            <w:shd w:val="clear" w:color="auto" w:fill="auto"/>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Dianem + Insektizid</w:t>
            </w:r>
          </w:p>
        </w:tc>
        <w:tc>
          <w:tcPr>
            <w:tcW w:w="1134" w:type="dxa"/>
            <w:shd w:val="clear" w:color="auto" w:fill="auto"/>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0</w:t>
            </w:r>
          </w:p>
        </w:tc>
        <w:tc>
          <w:tcPr>
            <w:tcW w:w="946" w:type="dxa"/>
            <w:shd w:val="clear" w:color="auto" w:fill="auto"/>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18</w:t>
            </w:r>
          </w:p>
        </w:tc>
        <w:tc>
          <w:tcPr>
            <w:tcW w:w="1889" w:type="dxa"/>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0</w:t>
            </w:r>
          </w:p>
        </w:tc>
        <w:tc>
          <w:tcPr>
            <w:tcW w:w="1418" w:type="dxa"/>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0</w:t>
            </w:r>
          </w:p>
        </w:tc>
        <w:tc>
          <w:tcPr>
            <w:tcW w:w="1701" w:type="dxa"/>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7</w:t>
            </w:r>
          </w:p>
        </w:tc>
        <w:tc>
          <w:tcPr>
            <w:tcW w:w="1417" w:type="dxa"/>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0</w:t>
            </w:r>
          </w:p>
        </w:tc>
      </w:tr>
      <w:tr w:rsidR="005F05F8" w:rsidRPr="002013FE" w:rsidTr="005F05F8">
        <w:trPr>
          <w:trHeight w:val="241"/>
          <w:jc w:val="right"/>
        </w:trPr>
        <w:tc>
          <w:tcPr>
            <w:tcW w:w="1134" w:type="dxa"/>
            <w:shd w:val="clear" w:color="auto" w:fill="auto"/>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Belem</w:t>
            </w:r>
          </w:p>
        </w:tc>
        <w:tc>
          <w:tcPr>
            <w:tcW w:w="1134" w:type="dxa"/>
            <w:shd w:val="clear" w:color="auto" w:fill="auto"/>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0</w:t>
            </w:r>
          </w:p>
        </w:tc>
        <w:tc>
          <w:tcPr>
            <w:tcW w:w="946" w:type="dxa"/>
            <w:shd w:val="clear" w:color="auto" w:fill="auto"/>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1</w:t>
            </w:r>
          </w:p>
        </w:tc>
        <w:tc>
          <w:tcPr>
            <w:tcW w:w="1889" w:type="dxa"/>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0</w:t>
            </w:r>
          </w:p>
        </w:tc>
        <w:tc>
          <w:tcPr>
            <w:tcW w:w="1418" w:type="dxa"/>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0</w:t>
            </w:r>
          </w:p>
        </w:tc>
        <w:tc>
          <w:tcPr>
            <w:tcW w:w="1701" w:type="dxa"/>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0</w:t>
            </w:r>
          </w:p>
        </w:tc>
        <w:tc>
          <w:tcPr>
            <w:tcW w:w="1417" w:type="dxa"/>
            <w:vAlign w:val="center"/>
          </w:tcPr>
          <w:p w:rsidR="005F05F8" w:rsidRDefault="005F05F8" w:rsidP="005F05F8">
            <w:pPr>
              <w:jc w:val="center"/>
              <w:rPr>
                <w:rFonts w:ascii="Calibri" w:hAnsi="Calibri" w:cs="Calibri"/>
                <w:color w:val="000000"/>
                <w:sz w:val="22"/>
                <w:szCs w:val="22"/>
              </w:rPr>
            </w:pPr>
            <w:r>
              <w:rPr>
                <w:rFonts w:ascii="Calibri" w:hAnsi="Calibri" w:cs="Calibri"/>
                <w:color w:val="000000"/>
                <w:sz w:val="22"/>
                <w:szCs w:val="22"/>
              </w:rPr>
              <w:t>6</w:t>
            </w:r>
          </w:p>
        </w:tc>
      </w:tr>
      <w:tr w:rsidR="005F05F8" w:rsidRPr="002013FE" w:rsidTr="005F05F8">
        <w:trPr>
          <w:trHeight w:val="241"/>
          <w:jc w:val="right"/>
        </w:trPr>
        <w:tc>
          <w:tcPr>
            <w:tcW w:w="1134" w:type="dxa"/>
            <w:shd w:val="clear" w:color="auto" w:fill="auto"/>
            <w:vAlign w:val="center"/>
          </w:tcPr>
          <w:p w:rsidR="005F05F8" w:rsidRPr="00B0294B" w:rsidRDefault="005F05F8" w:rsidP="005F05F8">
            <w:pPr>
              <w:jc w:val="center"/>
              <w:rPr>
                <w:rFonts w:ascii="Calibri" w:hAnsi="Calibri" w:cs="Calibri"/>
                <w:sz w:val="22"/>
                <w:szCs w:val="22"/>
              </w:rPr>
            </w:pPr>
            <w:r w:rsidRPr="00B0294B">
              <w:rPr>
                <w:rFonts w:ascii="Calibri" w:hAnsi="Calibri" w:cs="Calibri"/>
                <w:sz w:val="22"/>
                <w:szCs w:val="22"/>
              </w:rPr>
              <w:t>keine</w:t>
            </w:r>
          </w:p>
        </w:tc>
        <w:tc>
          <w:tcPr>
            <w:tcW w:w="1134" w:type="dxa"/>
            <w:shd w:val="clear" w:color="auto" w:fill="auto"/>
            <w:vAlign w:val="center"/>
          </w:tcPr>
          <w:p w:rsidR="005F05F8" w:rsidRPr="00B0294B" w:rsidRDefault="005F05F8" w:rsidP="005F05F8">
            <w:pPr>
              <w:jc w:val="center"/>
              <w:rPr>
                <w:rFonts w:ascii="Calibri" w:hAnsi="Calibri" w:cs="Calibri"/>
                <w:sz w:val="22"/>
                <w:szCs w:val="22"/>
              </w:rPr>
            </w:pPr>
            <w:r w:rsidRPr="00B0294B">
              <w:rPr>
                <w:rFonts w:ascii="Calibri" w:hAnsi="Calibri" w:cs="Calibri"/>
                <w:sz w:val="22"/>
                <w:szCs w:val="22"/>
              </w:rPr>
              <w:t>1</w:t>
            </w:r>
          </w:p>
        </w:tc>
        <w:tc>
          <w:tcPr>
            <w:tcW w:w="946" w:type="dxa"/>
            <w:shd w:val="clear" w:color="auto" w:fill="auto"/>
            <w:vAlign w:val="center"/>
          </w:tcPr>
          <w:p w:rsidR="005F05F8" w:rsidRPr="00B0294B" w:rsidRDefault="005F05F8" w:rsidP="005F05F8">
            <w:pPr>
              <w:jc w:val="center"/>
              <w:rPr>
                <w:rFonts w:ascii="Calibri" w:hAnsi="Calibri" w:cs="Calibri"/>
                <w:sz w:val="22"/>
                <w:szCs w:val="22"/>
              </w:rPr>
            </w:pPr>
            <w:r w:rsidRPr="00B0294B">
              <w:rPr>
                <w:rFonts w:ascii="Calibri" w:hAnsi="Calibri" w:cs="Calibri"/>
                <w:sz w:val="22"/>
                <w:szCs w:val="22"/>
              </w:rPr>
              <w:t>7</w:t>
            </w:r>
          </w:p>
        </w:tc>
        <w:tc>
          <w:tcPr>
            <w:tcW w:w="1889" w:type="dxa"/>
            <w:vAlign w:val="center"/>
          </w:tcPr>
          <w:p w:rsidR="005F05F8" w:rsidRPr="00B0294B" w:rsidRDefault="005F05F8" w:rsidP="005F05F8">
            <w:pPr>
              <w:jc w:val="center"/>
              <w:rPr>
                <w:rFonts w:ascii="Calibri" w:hAnsi="Calibri" w:cs="Calibri"/>
                <w:sz w:val="22"/>
                <w:szCs w:val="22"/>
              </w:rPr>
            </w:pPr>
            <w:r w:rsidRPr="00B0294B">
              <w:rPr>
                <w:rFonts w:ascii="Calibri" w:hAnsi="Calibri" w:cs="Calibri"/>
                <w:sz w:val="22"/>
                <w:szCs w:val="22"/>
              </w:rPr>
              <w:t>1</w:t>
            </w:r>
          </w:p>
        </w:tc>
        <w:tc>
          <w:tcPr>
            <w:tcW w:w="1418" w:type="dxa"/>
            <w:vAlign w:val="center"/>
          </w:tcPr>
          <w:p w:rsidR="005F05F8" w:rsidRPr="00B0294B" w:rsidRDefault="005F05F8" w:rsidP="005F05F8">
            <w:pPr>
              <w:jc w:val="center"/>
              <w:rPr>
                <w:rFonts w:ascii="Calibri" w:hAnsi="Calibri" w:cs="Calibri"/>
                <w:sz w:val="22"/>
                <w:szCs w:val="22"/>
              </w:rPr>
            </w:pPr>
            <w:r w:rsidRPr="00B0294B">
              <w:rPr>
                <w:rFonts w:ascii="Calibri" w:hAnsi="Calibri" w:cs="Calibri"/>
                <w:sz w:val="22"/>
                <w:szCs w:val="22"/>
              </w:rPr>
              <w:t>0</w:t>
            </w:r>
          </w:p>
        </w:tc>
        <w:tc>
          <w:tcPr>
            <w:tcW w:w="1701" w:type="dxa"/>
            <w:vAlign w:val="center"/>
          </w:tcPr>
          <w:p w:rsidR="005F05F8" w:rsidRPr="00B0294B" w:rsidRDefault="005F05F8" w:rsidP="005F05F8">
            <w:pPr>
              <w:jc w:val="center"/>
              <w:rPr>
                <w:rFonts w:ascii="Calibri" w:hAnsi="Calibri" w:cs="Calibri"/>
                <w:sz w:val="22"/>
                <w:szCs w:val="22"/>
              </w:rPr>
            </w:pPr>
            <w:r w:rsidRPr="00B0294B">
              <w:rPr>
                <w:rFonts w:ascii="Calibri" w:hAnsi="Calibri" w:cs="Calibri"/>
                <w:sz w:val="22"/>
                <w:szCs w:val="22"/>
              </w:rPr>
              <w:t>0</w:t>
            </w:r>
          </w:p>
        </w:tc>
        <w:tc>
          <w:tcPr>
            <w:tcW w:w="1417" w:type="dxa"/>
            <w:vAlign w:val="center"/>
          </w:tcPr>
          <w:p w:rsidR="005F05F8" w:rsidRPr="00B0294B" w:rsidRDefault="005F05F8" w:rsidP="005F05F8">
            <w:pPr>
              <w:jc w:val="center"/>
              <w:rPr>
                <w:rFonts w:ascii="Calibri" w:hAnsi="Calibri" w:cs="Calibri"/>
                <w:sz w:val="22"/>
                <w:szCs w:val="22"/>
              </w:rPr>
            </w:pPr>
            <w:r w:rsidRPr="00B0294B">
              <w:rPr>
                <w:rFonts w:ascii="Calibri" w:hAnsi="Calibri" w:cs="Calibri"/>
                <w:sz w:val="22"/>
                <w:szCs w:val="22"/>
              </w:rPr>
              <w:t>0</w:t>
            </w:r>
          </w:p>
        </w:tc>
      </w:tr>
    </w:tbl>
    <w:p w:rsidR="005F05F8" w:rsidRDefault="005F05F8" w:rsidP="005F05F8">
      <w:pPr>
        <w:pStyle w:val="Tabelle"/>
        <w:rPr>
          <w:lang w:val="de-AT" w:eastAsia="ja-JP"/>
        </w:rPr>
      </w:pPr>
    </w:p>
    <w:p w:rsidR="00402D84" w:rsidRDefault="00402D84" w:rsidP="00B70C83">
      <w:pPr>
        <w:pStyle w:val="Flietext"/>
        <w:jc w:val="both"/>
      </w:pPr>
      <w:r w:rsidRPr="00B0294B">
        <w:rPr>
          <w:color w:val="auto"/>
        </w:rPr>
        <w:t xml:space="preserve">Da die </w:t>
      </w:r>
      <w:r w:rsidRPr="006F0925">
        <w:t>Faktoren Fruchtfolge</w:t>
      </w:r>
      <w:r>
        <w:t>,</w:t>
      </w:r>
      <w:r w:rsidRPr="006F0925">
        <w:t xml:space="preserve"> Maissorte</w:t>
      </w:r>
      <w:r>
        <w:t xml:space="preserve"> und Pflanzenschutzmaßnahme</w:t>
      </w:r>
      <w:r w:rsidRPr="006F0925">
        <w:t xml:space="preserve"> in Gesprächen mit Landwirten als Hauptkriterien für den </w:t>
      </w:r>
      <w:r>
        <w:t>Schädlingsbefall</w:t>
      </w:r>
      <w:r w:rsidRPr="006F0925">
        <w:t xml:space="preserve"> und Lagerungsschäden genannt wurden, sind diese Parameter </w:t>
      </w:r>
      <w:r>
        <w:t>schwerpunkt</w:t>
      </w:r>
      <w:r w:rsidRPr="006F0925">
        <w:t>mäßig</w:t>
      </w:r>
      <w:r>
        <w:t xml:space="preserve"> und – soweit möglich – statistisch </w:t>
      </w:r>
      <w:r w:rsidRPr="006F0925">
        <w:t xml:space="preserve">ausgewertet </w:t>
      </w:r>
      <w:r>
        <w:t xml:space="preserve">worden. </w:t>
      </w:r>
    </w:p>
    <w:p w:rsidR="00402D84" w:rsidRPr="006F0925" w:rsidRDefault="00402D84" w:rsidP="00B70C83">
      <w:pPr>
        <w:pStyle w:val="Flietext"/>
        <w:jc w:val="both"/>
      </w:pPr>
      <w:r w:rsidRPr="001D3CB3">
        <w:t xml:space="preserve">Alle </w:t>
      </w:r>
      <w:r w:rsidRPr="001D3CB3">
        <w:rPr>
          <w:b/>
        </w:rPr>
        <w:t>Fruchtfolge</w:t>
      </w:r>
      <w:r w:rsidRPr="001D3CB3">
        <w:t>-Faktoren waren wegen Datenlücken nicht statistisch auswertbar. Trotzdem zeigte der Faktor Fruchtfolge deutlich ein Ansteigen des Befallsgrades der Maisfelder durch den Maiswurzelbohrer (</w:t>
      </w:r>
      <w:r w:rsidRPr="001D3CB3">
        <w:rPr>
          <w:color w:val="FF0000"/>
        </w:rPr>
        <w:fldChar w:fldCharType="begin"/>
      </w:r>
      <w:r w:rsidRPr="001D3CB3">
        <w:instrText xml:space="preserve"> REF _Ref533059524 \h </w:instrText>
      </w:r>
      <w:r w:rsidR="00B70C83" w:rsidRPr="001D3CB3">
        <w:rPr>
          <w:color w:val="FF0000"/>
        </w:rPr>
        <w:instrText xml:space="preserve"> \* MERGEFORMAT </w:instrText>
      </w:r>
      <w:r w:rsidRPr="001D3CB3">
        <w:rPr>
          <w:color w:val="FF0000"/>
        </w:rPr>
      </w:r>
      <w:r w:rsidRPr="001D3CB3">
        <w:rPr>
          <w:color w:val="FF0000"/>
        </w:rPr>
        <w:fldChar w:fldCharType="separate"/>
      </w:r>
      <w:r w:rsidR="00B70C83" w:rsidRPr="001D3CB3">
        <w:t xml:space="preserve">Abbildung </w:t>
      </w:r>
      <w:r w:rsidR="00B70C83" w:rsidRPr="001D3CB3">
        <w:rPr>
          <w:noProof/>
          <w:color w:val="auto"/>
        </w:rPr>
        <w:t>36</w:t>
      </w:r>
      <w:r w:rsidRPr="001D3CB3">
        <w:rPr>
          <w:color w:val="FF0000"/>
        </w:rPr>
        <w:fldChar w:fldCharType="end"/>
      </w:r>
      <w:r w:rsidRPr="001D3CB3">
        <w:rPr>
          <w:color w:val="auto"/>
        </w:rPr>
        <w:t>). Damit</w:t>
      </w:r>
      <w:r w:rsidRPr="000E45EE">
        <w:rPr>
          <w:color w:val="auto"/>
        </w:rPr>
        <w:t xml:space="preserve"> </w:t>
      </w:r>
      <w:r w:rsidRPr="006F0925">
        <w:t xml:space="preserve">wird die Wichtigkeit bestätigt, den Fruchtfolgewechsel einzuhalten! </w:t>
      </w:r>
    </w:p>
    <w:p w:rsidR="00402D84" w:rsidRDefault="00402D84" w:rsidP="00402D84">
      <w:pPr>
        <w:pStyle w:val="Flietext"/>
        <w:rPr>
          <w:lang w:eastAsia="de-DE"/>
        </w:rPr>
      </w:pPr>
      <w:r>
        <w:rPr>
          <w:noProof/>
          <w:lang w:eastAsia="de-AT"/>
        </w:rPr>
        <w:drawing>
          <wp:inline distT="0" distB="0" distL="0" distR="0" wp14:anchorId="683203D7" wp14:editId="1002D25E">
            <wp:extent cx="5629275" cy="2114550"/>
            <wp:effectExtent l="0" t="0" r="9525" b="0"/>
            <wp:docPr id="9282" name="Diagramm 9282" title="Befallsgrad durch Maiswurzelbohre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402D84" w:rsidRDefault="00402D84" w:rsidP="00402D84">
      <w:pPr>
        <w:pStyle w:val="Beschriftung"/>
        <w:rPr>
          <w:color w:val="auto"/>
          <w:lang w:eastAsia="de-DE"/>
        </w:rPr>
      </w:pPr>
      <w:bookmarkStart w:id="212" w:name="_Ref533059524"/>
      <w:bookmarkStart w:id="213" w:name="_Toc533059401"/>
      <w:bookmarkStart w:id="214" w:name="_Toc7715425"/>
      <w:r>
        <w:t xml:space="preserve">Abbildung </w:t>
      </w:r>
      <w:r w:rsidRPr="005D29AA">
        <w:rPr>
          <w:noProof/>
          <w:color w:val="auto"/>
        </w:rPr>
        <w:fldChar w:fldCharType="begin"/>
      </w:r>
      <w:r w:rsidRPr="005D29AA">
        <w:rPr>
          <w:noProof/>
          <w:color w:val="auto"/>
        </w:rPr>
        <w:instrText xml:space="preserve"> SEQ Abbildung \* ARABIC </w:instrText>
      </w:r>
      <w:r w:rsidRPr="005D29AA">
        <w:rPr>
          <w:noProof/>
          <w:color w:val="auto"/>
        </w:rPr>
        <w:fldChar w:fldCharType="separate"/>
      </w:r>
      <w:r w:rsidR="00B70C83">
        <w:rPr>
          <w:noProof/>
          <w:color w:val="auto"/>
        </w:rPr>
        <w:t>36</w:t>
      </w:r>
      <w:r w:rsidRPr="005D29AA">
        <w:rPr>
          <w:noProof/>
          <w:color w:val="auto"/>
        </w:rPr>
        <w:fldChar w:fldCharType="end"/>
      </w:r>
      <w:bookmarkEnd w:id="212"/>
      <w:r w:rsidRPr="005D29AA">
        <w:rPr>
          <w:color w:val="auto"/>
        </w:rPr>
        <w:t xml:space="preserve">: </w:t>
      </w:r>
      <w:r w:rsidRPr="005D29AA">
        <w:rPr>
          <w:color w:val="auto"/>
          <w:lang w:eastAsia="de-DE"/>
        </w:rPr>
        <w:t>Befall durch den MWB im 4. Standjahr unter Berücksichtigung der Vorfrüchte</w:t>
      </w:r>
      <w:bookmarkEnd w:id="213"/>
      <w:bookmarkEnd w:id="214"/>
    </w:p>
    <w:p w:rsidR="00A35242" w:rsidRPr="00A35242" w:rsidRDefault="00A35242" w:rsidP="00A35242">
      <w:pPr>
        <w:pStyle w:val="Flietext"/>
        <w:rPr>
          <w:lang w:eastAsia="de-DE"/>
        </w:rPr>
      </w:pPr>
    </w:p>
    <w:p w:rsidR="00402D84" w:rsidRDefault="00402D84" w:rsidP="00B70C83">
      <w:pPr>
        <w:pStyle w:val="Flietext"/>
        <w:jc w:val="both"/>
        <w:rPr>
          <w:color w:val="auto"/>
        </w:rPr>
      </w:pPr>
      <w:r w:rsidRPr="005D29AA">
        <w:rPr>
          <w:color w:val="auto"/>
        </w:rPr>
        <w:t xml:space="preserve">Zugleich nahm während er drei-jährigen Datensammlung der Befallsgrad </w:t>
      </w:r>
      <w:r w:rsidRPr="001D3CB3">
        <w:rPr>
          <w:color w:val="auto"/>
        </w:rPr>
        <w:t>jährlich zu (</w:t>
      </w:r>
      <w:r w:rsidRPr="001D3CB3">
        <w:rPr>
          <w:color w:val="auto"/>
        </w:rPr>
        <w:fldChar w:fldCharType="begin"/>
      </w:r>
      <w:r w:rsidRPr="001D3CB3">
        <w:rPr>
          <w:color w:val="auto"/>
        </w:rPr>
        <w:instrText xml:space="preserve"> REF _Ref533059552 \h </w:instrText>
      </w:r>
      <w:r w:rsidR="00B70C83" w:rsidRPr="001D3CB3">
        <w:rPr>
          <w:color w:val="auto"/>
        </w:rPr>
        <w:instrText xml:space="preserve"> \* MERGEFORMAT </w:instrText>
      </w:r>
      <w:r w:rsidRPr="001D3CB3">
        <w:rPr>
          <w:color w:val="auto"/>
        </w:rPr>
      </w:r>
      <w:r w:rsidRPr="001D3CB3">
        <w:rPr>
          <w:color w:val="auto"/>
        </w:rPr>
        <w:fldChar w:fldCharType="separate"/>
      </w:r>
      <w:r w:rsidR="00B70C83" w:rsidRPr="001D3CB3">
        <w:t xml:space="preserve">Abbildung </w:t>
      </w:r>
      <w:r w:rsidR="00B70C83" w:rsidRPr="001D3CB3">
        <w:rPr>
          <w:noProof/>
        </w:rPr>
        <w:t>37</w:t>
      </w:r>
      <w:r w:rsidRPr="001D3CB3">
        <w:rPr>
          <w:color w:val="auto"/>
        </w:rPr>
        <w:fldChar w:fldCharType="end"/>
      </w:r>
      <w:r w:rsidRPr="001D3CB3">
        <w:rPr>
          <w:color w:val="auto"/>
        </w:rPr>
        <w:t>). 2015</w:t>
      </w:r>
      <w:r>
        <w:rPr>
          <w:color w:val="auto"/>
        </w:rPr>
        <w:t xml:space="preserve"> wurden</w:t>
      </w:r>
      <w:r w:rsidRPr="005D29AA">
        <w:rPr>
          <w:color w:val="auto"/>
        </w:rPr>
        <w:t xml:space="preserve"> noch für 14 % der Felder *kein Befall“ angegeben. 2016 waren es noch 2,5 % und 2017 wurde für alle Standorte mindestens *leichter Befall* durch den Käfer in den Fragenbögen beschrieben. </w:t>
      </w:r>
    </w:p>
    <w:p w:rsidR="00A35242" w:rsidRDefault="00A35242" w:rsidP="00B70C83">
      <w:pPr>
        <w:pStyle w:val="Flietext"/>
        <w:jc w:val="both"/>
        <w:rPr>
          <w:color w:val="auto"/>
        </w:rPr>
      </w:pPr>
    </w:p>
    <w:p w:rsidR="00402D84" w:rsidRPr="006F70C4" w:rsidRDefault="00402D84" w:rsidP="00402D84">
      <w:pPr>
        <w:pStyle w:val="Flietext"/>
        <w:rPr>
          <w:color w:val="auto"/>
        </w:rPr>
      </w:pPr>
      <w:r>
        <w:rPr>
          <w:noProof/>
          <w:lang w:eastAsia="de-AT"/>
        </w:rPr>
        <w:drawing>
          <wp:inline distT="0" distB="0" distL="0" distR="0" wp14:anchorId="25A285CB" wp14:editId="574D0A1B">
            <wp:extent cx="5610225" cy="1952625"/>
            <wp:effectExtent l="0" t="0" r="9525" b="9525"/>
            <wp:docPr id="9283" name="Diagramm 9283" title="Befallsgrad durch MWB"/>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402D84" w:rsidRPr="00F06D66" w:rsidRDefault="00402D84" w:rsidP="00402D84">
      <w:pPr>
        <w:pStyle w:val="Beschriftung"/>
        <w:rPr>
          <w:color w:val="auto"/>
          <w:lang w:eastAsia="de-DE"/>
        </w:rPr>
      </w:pPr>
      <w:bookmarkStart w:id="215" w:name="_Ref533059552"/>
      <w:bookmarkStart w:id="216" w:name="_Toc533059402"/>
      <w:bookmarkStart w:id="217" w:name="_Toc7715426"/>
      <w:r>
        <w:t xml:space="preserve">Abbildung </w:t>
      </w:r>
      <w:r>
        <w:rPr>
          <w:noProof/>
        </w:rPr>
        <w:fldChar w:fldCharType="begin"/>
      </w:r>
      <w:r>
        <w:rPr>
          <w:noProof/>
        </w:rPr>
        <w:instrText xml:space="preserve"> SEQ Abbildung \* ARABIC </w:instrText>
      </w:r>
      <w:r>
        <w:rPr>
          <w:noProof/>
        </w:rPr>
        <w:fldChar w:fldCharType="separate"/>
      </w:r>
      <w:r w:rsidR="00B70C83">
        <w:rPr>
          <w:noProof/>
        </w:rPr>
        <w:t>37</w:t>
      </w:r>
      <w:r>
        <w:rPr>
          <w:noProof/>
        </w:rPr>
        <w:fldChar w:fldCharType="end"/>
      </w:r>
      <w:bookmarkEnd w:id="215"/>
      <w:r w:rsidRPr="005D29AA">
        <w:rPr>
          <w:color w:val="auto"/>
        </w:rPr>
        <w:t xml:space="preserve">: </w:t>
      </w:r>
      <w:r w:rsidRPr="005D29AA">
        <w:rPr>
          <w:color w:val="auto"/>
          <w:lang w:eastAsia="de-DE"/>
        </w:rPr>
        <w:t>Befallsgrad der Kultur gefiltert nach Beobachtungsjahren</w:t>
      </w:r>
      <w:bookmarkEnd w:id="216"/>
      <w:bookmarkEnd w:id="217"/>
    </w:p>
    <w:p w:rsidR="00402D84" w:rsidRPr="00E0439C" w:rsidRDefault="00402D84" w:rsidP="00B70C83">
      <w:pPr>
        <w:pStyle w:val="Flietext"/>
        <w:jc w:val="both"/>
        <w:rPr>
          <w:color w:val="auto"/>
        </w:rPr>
      </w:pPr>
      <w:r w:rsidRPr="00FF7128">
        <w:rPr>
          <w:color w:val="000000" w:themeColor="text1"/>
        </w:rPr>
        <w:t>Der Prozentsatz liegender Pflanzen als Indikator für Ernte</w:t>
      </w:r>
      <w:r>
        <w:rPr>
          <w:color w:val="000000" w:themeColor="text1"/>
        </w:rPr>
        <w:t>verluste</w:t>
      </w:r>
      <w:r w:rsidRPr="00FF7128">
        <w:rPr>
          <w:color w:val="000000" w:themeColor="text1"/>
        </w:rPr>
        <w:t xml:space="preserve"> stimmt in den behandelten Varianten gut mit der Lagerbonitur des Methodenvergleichs 2017 überein. </w:t>
      </w:r>
      <w:r w:rsidRPr="001D3CB3">
        <w:rPr>
          <w:color w:val="auto"/>
        </w:rPr>
        <w:t>Im zweiten Maisjahr war sowohl die Lagerhäufigkeit als auch Lagerungsstärke höher als im ersten Maisjahr (</w:t>
      </w:r>
      <w:r w:rsidRPr="001D3CB3">
        <w:rPr>
          <w:color w:val="auto"/>
        </w:rPr>
        <w:fldChar w:fldCharType="begin"/>
      </w:r>
      <w:r w:rsidRPr="001D3CB3">
        <w:rPr>
          <w:color w:val="auto"/>
        </w:rPr>
        <w:instrText xml:space="preserve"> REF _Ref533059569 \h </w:instrText>
      </w:r>
      <w:r w:rsidR="00B70C83" w:rsidRPr="001D3CB3">
        <w:rPr>
          <w:color w:val="auto"/>
        </w:rPr>
        <w:instrText xml:space="preserve"> \* MERGEFORMAT </w:instrText>
      </w:r>
      <w:r w:rsidRPr="001D3CB3">
        <w:rPr>
          <w:color w:val="auto"/>
        </w:rPr>
      </w:r>
      <w:r w:rsidRPr="001D3CB3">
        <w:rPr>
          <w:color w:val="auto"/>
        </w:rPr>
        <w:fldChar w:fldCharType="separate"/>
      </w:r>
      <w:r w:rsidR="00B70C83" w:rsidRPr="001D3CB3">
        <w:t xml:space="preserve">Abbildung </w:t>
      </w:r>
      <w:r w:rsidR="00B70C83" w:rsidRPr="001D3CB3">
        <w:rPr>
          <w:noProof/>
        </w:rPr>
        <w:t>25</w:t>
      </w:r>
      <w:r w:rsidRPr="001D3CB3">
        <w:rPr>
          <w:color w:val="auto"/>
        </w:rPr>
        <w:fldChar w:fldCharType="end"/>
      </w:r>
      <w:r w:rsidRPr="001D3CB3">
        <w:rPr>
          <w:color w:val="auto"/>
        </w:rPr>
        <w:t xml:space="preserve">; vgl. </w:t>
      </w:r>
      <w:r w:rsidRPr="001D3CB3">
        <w:rPr>
          <w:color w:val="auto"/>
        </w:rPr>
        <w:fldChar w:fldCharType="begin"/>
      </w:r>
      <w:r w:rsidRPr="001D3CB3">
        <w:rPr>
          <w:color w:val="auto"/>
        </w:rPr>
        <w:instrText xml:space="preserve"> REF _Ref533059669 \r \h </w:instrText>
      </w:r>
      <w:r w:rsidR="00B70C83" w:rsidRPr="001D3CB3">
        <w:rPr>
          <w:color w:val="auto"/>
        </w:rPr>
        <w:instrText xml:space="preserve"> \* MERGEFORMAT </w:instrText>
      </w:r>
      <w:r w:rsidRPr="001D3CB3">
        <w:rPr>
          <w:color w:val="auto"/>
        </w:rPr>
      </w:r>
      <w:r w:rsidRPr="001D3CB3">
        <w:rPr>
          <w:color w:val="auto"/>
        </w:rPr>
        <w:fldChar w:fldCharType="separate"/>
      </w:r>
      <w:r w:rsidR="00B70C83" w:rsidRPr="001D3CB3">
        <w:rPr>
          <w:color w:val="auto"/>
        </w:rPr>
        <w:t>2.13.3.1</w:t>
      </w:r>
      <w:r w:rsidRPr="001D3CB3">
        <w:rPr>
          <w:color w:val="auto"/>
        </w:rPr>
        <w:fldChar w:fldCharType="end"/>
      </w:r>
      <w:r w:rsidRPr="001D3CB3">
        <w:rPr>
          <w:color w:val="auto"/>
        </w:rPr>
        <w:t>.).</w:t>
      </w:r>
      <w:r w:rsidRPr="00E0439C">
        <w:rPr>
          <w:color w:val="auto"/>
        </w:rPr>
        <w:t xml:space="preserve"> Bereits mit einem Jahr Zwischenfrucht konnte die Lagerung um 57 % gegenüber mit Vorfrucht Mais reduziert werden.</w:t>
      </w:r>
    </w:p>
    <w:p w:rsidR="00402D84" w:rsidRPr="00B70C83" w:rsidRDefault="00402D84" w:rsidP="00402D84">
      <w:pPr>
        <w:pStyle w:val="Flietext"/>
        <w:rPr>
          <w:color w:val="auto"/>
        </w:rPr>
      </w:pPr>
      <w:r>
        <w:rPr>
          <w:noProof/>
          <w:lang w:eastAsia="de-AT"/>
        </w:rPr>
        <w:drawing>
          <wp:inline distT="0" distB="0" distL="0" distR="0" wp14:anchorId="256CBDA3" wp14:editId="57B3E62A">
            <wp:extent cx="5629275" cy="2085975"/>
            <wp:effectExtent l="0" t="0" r="9525" b="9525"/>
            <wp:docPr id="9284" name="Diagramm 9284" title="Lagerung des Maises in Abhängigkeit der Vorfrüchte"/>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402D84" w:rsidRPr="00B70C83" w:rsidRDefault="00402D84" w:rsidP="00402D84">
      <w:pPr>
        <w:pStyle w:val="Beschriftung"/>
        <w:rPr>
          <w:color w:val="auto"/>
          <w:lang w:eastAsia="de-DE"/>
        </w:rPr>
      </w:pPr>
      <w:bookmarkStart w:id="218" w:name="_Ref533059569"/>
      <w:bookmarkStart w:id="219" w:name="_Toc533059403"/>
      <w:bookmarkStart w:id="220" w:name="_Toc7715427"/>
      <w:r w:rsidRPr="00B70C83">
        <w:rPr>
          <w:color w:val="auto"/>
        </w:rPr>
        <w:t xml:space="preserve">Abbildung </w:t>
      </w:r>
      <w:r w:rsidRPr="00B70C83">
        <w:rPr>
          <w:noProof/>
          <w:color w:val="auto"/>
        </w:rPr>
        <w:fldChar w:fldCharType="begin"/>
      </w:r>
      <w:r w:rsidRPr="00B70C83">
        <w:rPr>
          <w:noProof/>
          <w:color w:val="auto"/>
        </w:rPr>
        <w:instrText xml:space="preserve"> SEQ Abbildung \* ARABIC </w:instrText>
      </w:r>
      <w:r w:rsidRPr="00B70C83">
        <w:rPr>
          <w:noProof/>
          <w:color w:val="auto"/>
        </w:rPr>
        <w:fldChar w:fldCharType="separate"/>
      </w:r>
      <w:r w:rsidR="00B70C83" w:rsidRPr="00B70C83">
        <w:rPr>
          <w:noProof/>
          <w:color w:val="auto"/>
        </w:rPr>
        <w:t>38</w:t>
      </w:r>
      <w:r w:rsidRPr="00B70C83">
        <w:rPr>
          <w:noProof/>
          <w:color w:val="auto"/>
        </w:rPr>
        <w:fldChar w:fldCharType="end"/>
      </w:r>
      <w:bookmarkEnd w:id="218"/>
      <w:r w:rsidRPr="00B70C83">
        <w:rPr>
          <w:color w:val="auto"/>
        </w:rPr>
        <w:t xml:space="preserve">: </w:t>
      </w:r>
      <w:r w:rsidRPr="00B70C83">
        <w:rPr>
          <w:color w:val="auto"/>
          <w:lang w:eastAsia="de-DE"/>
        </w:rPr>
        <w:t>Prozentsatz lagernder Pflanzen in Abhängigkeit der Vorkulturen</w:t>
      </w:r>
      <w:bookmarkEnd w:id="219"/>
      <w:bookmarkEnd w:id="220"/>
    </w:p>
    <w:p w:rsidR="00402D84" w:rsidRDefault="00402D84" w:rsidP="00B70C83">
      <w:pPr>
        <w:pStyle w:val="Flietext"/>
        <w:jc w:val="both"/>
        <w:rPr>
          <w:color w:val="000000" w:themeColor="text1"/>
        </w:rPr>
      </w:pPr>
      <w:r>
        <w:rPr>
          <w:color w:val="000000" w:themeColor="text1"/>
        </w:rPr>
        <w:t xml:space="preserve">Alle genannten </w:t>
      </w:r>
      <w:r w:rsidRPr="00D255FC">
        <w:rPr>
          <w:b/>
          <w:color w:val="000000" w:themeColor="text1"/>
        </w:rPr>
        <w:t>Maissorten</w:t>
      </w:r>
      <w:r>
        <w:rPr>
          <w:color w:val="000000" w:themeColor="text1"/>
        </w:rPr>
        <w:t xml:space="preserve"> sind frühe Sorten und wurden zwischen 3. und 20 April gesät. Die statistische </w:t>
      </w:r>
      <w:r w:rsidRPr="00FF7128">
        <w:rPr>
          <w:color w:val="000000" w:themeColor="text1"/>
        </w:rPr>
        <w:t xml:space="preserve">Untersuchung </w:t>
      </w:r>
      <w:r>
        <w:rPr>
          <w:color w:val="000000" w:themeColor="text1"/>
        </w:rPr>
        <w:t xml:space="preserve">der </w:t>
      </w:r>
      <w:r w:rsidRPr="001D3CB3">
        <w:rPr>
          <w:color w:val="000000" w:themeColor="text1"/>
        </w:rPr>
        <w:t>meistgenannten Sorten zeigte einen signifikant höheren Prozentsatz an liegenden Pflanzen bei der Sorte Memoxx im Vergleich zu den Sorten Conexxion, Ferarixx, MAS 40 F und MAS 47 P unabhängig vom Käferbefall (</w:t>
      </w:r>
      <w:r w:rsidRPr="001D3CB3">
        <w:rPr>
          <w:color w:val="000000" w:themeColor="text1"/>
        </w:rPr>
        <w:fldChar w:fldCharType="begin"/>
      </w:r>
      <w:r w:rsidRPr="001D3CB3">
        <w:rPr>
          <w:color w:val="000000" w:themeColor="text1"/>
        </w:rPr>
        <w:instrText xml:space="preserve"> REF _Ref533059733 \h </w:instrText>
      </w:r>
      <w:r w:rsidR="00B70C83" w:rsidRPr="001D3CB3">
        <w:rPr>
          <w:color w:val="000000" w:themeColor="text1"/>
        </w:rPr>
        <w:instrText xml:space="preserve"> \* MERGEFORMAT </w:instrText>
      </w:r>
      <w:r w:rsidRPr="001D3CB3">
        <w:rPr>
          <w:color w:val="000000" w:themeColor="text1"/>
        </w:rPr>
      </w:r>
      <w:r w:rsidRPr="001D3CB3">
        <w:rPr>
          <w:color w:val="000000" w:themeColor="text1"/>
        </w:rPr>
        <w:fldChar w:fldCharType="separate"/>
      </w:r>
      <w:r w:rsidR="00B70C83" w:rsidRPr="001D3CB3">
        <w:t xml:space="preserve">Abbildung </w:t>
      </w:r>
      <w:r w:rsidR="00B70C83" w:rsidRPr="001D3CB3">
        <w:rPr>
          <w:noProof/>
          <w:color w:val="auto"/>
        </w:rPr>
        <w:t>39</w:t>
      </w:r>
      <w:r w:rsidRPr="001D3CB3">
        <w:rPr>
          <w:color w:val="000000" w:themeColor="text1"/>
        </w:rPr>
        <w:fldChar w:fldCharType="end"/>
      </w:r>
      <w:r w:rsidRPr="001D3CB3">
        <w:rPr>
          <w:color w:val="000000" w:themeColor="text1"/>
        </w:rPr>
        <w:t>).</w:t>
      </w:r>
    </w:p>
    <w:p w:rsidR="00402D84" w:rsidRPr="00B70C83" w:rsidRDefault="00402D84" w:rsidP="00402D84">
      <w:pPr>
        <w:pStyle w:val="Flietext"/>
        <w:rPr>
          <w:color w:val="auto"/>
        </w:rPr>
      </w:pPr>
      <w:r>
        <w:rPr>
          <w:noProof/>
          <w:lang w:eastAsia="de-AT"/>
        </w:rPr>
        <w:drawing>
          <wp:inline distT="0" distB="0" distL="0" distR="0" wp14:anchorId="2B91ABD5" wp14:editId="75209F40">
            <wp:extent cx="5724525" cy="2743200"/>
            <wp:effectExtent l="0" t="0" r="9525" b="0"/>
            <wp:docPr id="9285" name="Diagramm 9285" title="Prozentsatz liegender Pflanzen pro Feld bei genannten Sorte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402D84" w:rsidRPr="00B70C83" w:rsidRDefault="00402D84" w:rsidP="00402D84">
      <w:pPr>
        <w:pStyle w:val="Beschriftung"/>
        <w:rPr>
          <w:color w:val="auto"/>
          <w:lang w:eastAsia="de-DE"/>
        </w:rPr>
      </w:pPr>
      <w:bookmarkStart w:id="221" w:name="_Ref533059733"/>
      <w:bookmarkStart w:id="222" w:name="_Toc533059404"/>
      <w:bookmarkStart w:id="223" w:name="_Toc7715428"/>
      <w:r w:rsidRPr="00B70C83">
        <w:rPr>
          <w:color w:val="auto"/>
        </w:rPr>
        <w:t xml:space="preserve">Abbildung </w:t>
      </w:r>
      <w:r w:rsidRPr="00B70C83">
        <w:rPr>
          <w:noProof/>
          <w:color w:val="auto"/>
        </w:rPr>
        <w:fldChar w:fldCharType="begin"/>
      </w:r>
      <w:r w:rsidRPr="00B70C83">
        <w:rPr>
          <w:noProof/>
          <w:color w:val="auto"/>
        </w:rPr>
        <w:instrText xml:space="preserve"> SEQ Abbildung \* ARABIC </w:instrText>
      </w:r>
      <w:r w:rsidRPr="00B70C83">
        <w:rPr>
          <w:noProof/>
          <w:color w:val="auto"/>
        </w:rPr>
        <w:fldChar w:fldCharType="separate"/>
      </w:r>
      <w:r w:rsidR="00B70C83" w:rsidRPr="00B70C83">
        <w:rPr>
          <w:noProof/>
          <w:color w:val="auto"/>
        </w:rPr>
        <w:t>39</w:t>
      </w:r>
      <w:r w:rsidRPr="00B70C83">
        <w:rPr>
          <w:noProof/>
          <w:color w:val="auto"/>
        </w:rPr>
        <w:fldChar w:fldCharType="end"/>
      </w:r>
      <w:bookmarkEnd w:id="221"/>
      <w:r w:rsidRPr="00B70C83">
        <w:rPr>
          <w:color w:val="auto"/>
        </w:rPr>
        <w:t xml:space="preserve">: </w:t>
      </w:r>
      <w:r w:rsidRPr="00B70C83">
        <w:rPr>
          <w:color w:val="auto"/>
          <w:lang w:eastAsia="de-DE"/>
        </w:rPr>
        <w:t>Prozentsatz liegender Pflanzen pro Feld bei genannten Maissorten</w:t>
      </w:r>
      <w:bookmarkEnd w:id="222"/>
      <w:bookmarkEnd w:id="223"/>
    </w:p>
    <w:p w:rsidR="00402D84" w:rsidRDefault="00402D84" w:rsidP="00B70C83">
      <w:pPr>
        <w:autoSpaceDE w:val="0"/>
        <w:autoSpaceDN w:val="0"/>
        <w:adjustRightInd w:val="0"/>
        <w:jc w:val="both"/>
      </w:pPr>
      <w:r w:rsidRPr="000F6163">
        <w:t xml:space="preserve">Die statistische Analyse des Faktors </w:t>
      </w:r>
      <w:r w:rsidRPr="001D3CB3">
        <w:rPr>
          <w:b/>
        </w:rPr>
        <w:t>Pflanzenschutzmaßnahme</w:t>
      </w:r>
      <w:r w:rsidRPr="001D3CB3">
        <w:t xml:space="preserve"> zeigte keine signifikanten Werte. Dennoch ließ sich beobachten, dass sich der Befall bei Dianem Behandlung bei geringem Befallsdruck aus dem Vorjahr gegenüber unbehandelten Kulturen verringert. Bei mittlerem Befall gab es keine Unterschiede (</w:t>
      </w:r>
      <w:r w:rsidRPr="001D3CB3">
        <w:fldChar w:fldCharType="begin"/>
      </w:r>
      <w:r w:rsidRPr="001D3CB3">
        <w:instrText xml:space="preserve"> REF _Ref533078468 \h </w:instrText>
      </w:r>
      <w:r w:rsidR="00B70C83" w:rsidRPr="001D3CB3">
        <w:instrText xml:space="preserve"> \* MERGEFORMAT </w:instrText>
      </w:r>
      <w:r w:rsidRPr="001D3CB3">
        <w:fldChar w:fldCharType="separate"/>
      </w:r>
      <w:r w:rsidR="00B70C83" w:rsidRPr="001D3CB3">
        <w:t xml:space="preserve">Abbildung </w:t>
      </w:r>
      <w:r w:rsidR="00B70C83" w:rsidRPr="001D3CB3">
        <w:rPr>
          <w:noProof/>
        </w:rPr>
        <w:t>26</w:t>
      </w:r>
      <w:r w:rsidRPr="001D3CB3">
        <w:fldChar w:fldCharType="end"/>
      </w:r>
      <w:r w:rsidRPr="001D3CB3">
        <w:t>). Dies würde belegen, dass die Nematoden bei geringem Ausgangsdruck effizienter arbeiten. Diese Ergebniswerte stimmen nicht mit den Ergebnissen des Methodenvergleichs 2017 (</w:t>
      </w:r>
      <w:r w:rsidRPr="001D3CB3">
        <w:fldChar w:fldCharType="begin"/>
      </w:r>
      <w:r w:rsidRPr="001D3CB3">
        <w:instrText xml:space="preserve"> REF _Ref533059815 \r \h </w:instrText>
      </w:r>
      <w:r w:rsidR="00B70C83" w:rsidRPr="001D3CB3">
        <w:instrText xml:space="preserve"> \* MERGEFORMAT </w:instrText>
      </w:r>
      <w:r w:rsidRPr="001D3CB3">
        <w:fldChar w:fldCharType="separate"/>
      </w:r>
      <w:r w:rsidR="00B70C83" w:rsidRPr="001D3CB3">
        <w:t>2.13.3.1</w:t>
      </w:r>
      <w:r w:rsidRPr="001D3CB3">
        <w:fldChar w:fldCharType="end"/>
      </w:r>
      <w:r w:rsidRPr="001D3CB3">
        <w:t>) überein, wo bei mittlerem Befalldruck des Vorjahres in der Dianem-Variante eine bis zu 70 %ige Reduktion</w:t>
      </w:r>
      <w:r w:rsidRPr="000F6163">
        <w:t xml:space="preserve"> der Käfer gegenüber der unbehandelten Kontrolle zu verzeichnen war.</w:t>
      </w:r>
    </w:p>
    <w:p w:rsidR="00402D84" w:rsidRDefault="00402D84" w:rsidP="00B70C83">
      <w:pPr>
        <w:autoSpaceDE w:val="0"/>
        <w:autoSpaceDN w:val="0"/>
        <w:adjustRightInd w:val="0"/>
        <w:jc w:val="both"/>
      </w:pPr>
    </w:p>
    <w:p w:rsidR="00402D84" w:rsidRDefault="00402D84" w:rsidP="00402D84">
      <w:pPr>
        <w:autoSpaceDE w:val="0"/>
        <w:autoSpaceDN w:val="0"/>
        <w:adjustRightInd w:val="0"/>
      </w:pPr>
      <w:r>
        <w:rPr>
          <w:noProof/>
          <w:lang w:eastAsia="de-AT"/>
        </w:rPr>
        <w:drawing>
          <wp:inline distT="0" distB="0" distL="0" distR="0" wp14:anchorId="706C811B" wp14:editId="0DA1DF6C">
            <wp:extent cx="5724525" cy="1914525"/>
            <wp:effectExtent l="0" t="0" r="9525" b="9525"/>
            <wp:docPr id="9286" name="Diagramm 9286" title="Befall in Abhängigkeit von Pflanzenschutzmaßnahme und Vorjahrsdruck"/>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402D84" w:rsidRDefault="00402D84" w:rsidP="00402D84">
      <w:pPr>
        <w:pStyle w:val="Beschriftung"/>
      </w:pPr>
      <w:bookmarkStart w:id="224" w:name="_Ref533078468"/>
      <w:bookmarkStart w:id="225" w:name="_Toc7715429"/>
      <w:r>
        <w:t xml:space="preserve">Abbildung </w:t>
      </w:r>
      <w:r w:rsidRPr="005D29AA">
        <w:rPr>
          <w:noProof/>
        </w:rPr>
        <w:fldChar w:fldCharType="begin"/>
      </w:r>
      <w:r w:rsidRPr="005D29AA">
        <w:rPr>
          <w:noProof/>
        </w:rPr>
        <w:instrText xml:space="preserve"> SEQ Abbildung \* ARABIC </w:instrText>
      </w:r>
      <w:r w:rsidRPr="005D29AA">
        <w:rPr>
          <w:noProof/>
        </w:rPr>
        <w:fldChar w:fldCharType="separate"/>
      </w:r>
      <w:r w:rsidR="00B70C83">
        <w:rPr>
          <w:noProof/>
        </w:rPr>
        <w:t>40</w:t>
      </w:r>
      <w:r w:rsidRPr="005D29AA">
        <w:rPr>
          <w:noProof/>
        </w:rPr>
        <w:fldChar w:fldCharType="end"/>
      </w:r>
      <w:bookmarkEnd w:id="224"/>
      <w:r w:rsidRPr="005D29AA">
        <w:t xml:space="preserve">: </w:t>
      </w:r>
      <w:r>
        <w:rPr>
          <w:lang w:eastAsia="de-DE"/>
        </w:rPr>
        <w:t>Befall im Beobachtungsjahr in Abhängigkeit der angewandten Pflanzenschutzmaßnahme und dem Befallsdruck aus dem Vorjahr.</w:t>
      </w:r>
      <w:bookmarkEnd w:id="225"/>
    </w:p>
    <w:p w:rsidR="00402D84" w:rsidRPr="007B4364" w:rsidRDefault="00402D84" w:rsidP="00B70C83">
      <w:pPr>
        <w:autoSpaceDE w:val="0"/>
        <w:autoSpaceDN w:val="0"/>
        <w:adjustRightInd w:val="0"/>
        <w:jc w:val="both"/>
      </w:pPr>
      <w:r w:rsidRPr="007B4364">
        <w:t xml:space="preserve">Für den Einfluss von Pflanzenschutzmaßnahme und Maisjahr auf Befallsgrad und Lagerung ist ein Vergleich von Dianem und Dianem+Insektizid möglich. In beiden </w:t>
      </w:r>
      <w:r w:rsidRPr="001D3CB3">
        <w:t>Fällen (</w:t>
      </w:r>
      <w:r w:rsidRPr="001D3CB3">
        <w:fldChar w:fldCharType="begin"/>
      </w:r>
      <w:r w:rsidRPr="001D3CB3">
        <w:instrText xml:space="preserve"> REF _Ref533079088 \h </w:instrText>
      </w:r>
      <w:r w:rsidR="00B70C83" w:rsidRPr="001D3CB3">
        <w:instrText xml:space="preserve"> \* MERGEFORMAT </w:instrText>
      </w:r>
      <w:r w:rsidRPr="001D3CB3">
        <w:fldChar w:fldCharType="separate"/>
      </w:r>
      <w:r w:rsidR="00B70C83" w:rsidRPr="001D3CB3">
        <w:t xml:space="preserve">Abbildung </w:t>
      </w:r>
      <w:r w:rsidR="00B70C83" w:rsidRPr="001D3CB3">
        <w:rPr>
          <w:noProof/>
        </w:rPr>
        <w:t>41</w:t>
      </w:r>
      <w:r w:rsidRPr="001D3CB3">
        <w:fldChar w:fldCharType="end"/>
      </w:r>
      <w:r w:rsidRPr="001D3CB3">
        <w:t xml:space="preserve"> oben: Befallsgrad</w:t>
      </w:r>
      <w:r w:rsidRPr="007B4364">
        <w:t xml:space="preserve">; unten: Lagerung) sieht man – mit Ausnahme der Lagerung mit und ohne Vorjahreskultur Mais </w:t>
      </w:r>
      <w:r>
        <w:t>ohne Pflanzenschutz</w:t>
      </w:r>
      <w:r w:rsidRPr="007B4364">
        <w:t xml:space="preserve">- eine deutliche Zunahme der Schadfaktoren. Diese Ausnahme ist möglicherweise darauf zurückzuführen, dass im ersten Maisanbaujahr – z.B. nach einem Wiesenumbruch oder Zwischenfrüchten über mehrere Jahre – nicht vorbeugend in eine Pflanzenschutzmaßnahme gegen die Larven des Maiswurzelbohrers im Boden investiert wird, sondern vorerst zugewartet wird, wie sich der Befall entwickelt. Landwirte, die auch im zweiten Maisjahr keine Bekämpfung des Schädlings vornehmen, wissen um den fehlenden Befallsdruck Bescheid. </w:t>
      </w:r>
    </w:p>
    <w:p w:rsidR="00402D84" w:rsidRDefault="00402D84" w:rsidP="00402D84">
      <w:pPr>
        <w:autoSpaceDE w:val="0"/>
        <w:autoSpaceDN w:val="0"/>
        <w:adjustRightInd w:val="0"/>
      </w:pPr>
    </w:p>
    <w:p w:rsidR="00402D84" w:rsidRDefault="00402D84" w:rsidP="00402D84">
      <w:pPr>
        <w:autoSpaceDE w:val="0"/>
        <w:autoSpaceDN w:val="0"/>
        <w:adjustRightInd w:val="0"/>
      </w:pPr>
      <w:r>
        <w:rPr>
          <w:noProof/>
          <w:lang w:eastAsia="de-AT"/>
        </w:rPr>
        <w:drawing>
          <wp:inline distT="0" distB="0" distL="0" distR="0" wp14:anchorId="1604FA65" wp14:editId="1A37641F">
            <wp:extent cx="5667375" cy="2019300"/>
            <wp:effectExtent l="0" t="0" r="9525" b="0"/>
            <wp:docPr id="9287" name="Diagramm 9287" title="Befallsgrad der Kultur durch D. virgifera in Abhängigkeit von Maisbau im Vorjahr und Pflanzenschutzmaßnahme"/>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402D84" w:rsidRPr="00195698" w:rsidRDefault="00402D84" w:rsidP="00402D84">
      <w:pPr>
        <w:autoSpaceDE w:val="0"/>
        <w:autoSpaceDN w:val="0"/>
        <w:adjustRightInd w:val="0"/>
      </w:pPr>
      <w:r>
        <w:rPr>
          <w:noProof/>
          <w:lang w:eastAsia="de-AT"/>
        </w:rPr>
        <w:drawing>
          <wp:inline distT="0" distB="0" distL="0" distR="0" wp14:anchorId="11F87099" wp14:editId="7C623F8E">
            <wp:extent cx="5667375" cy="2105025"/>
            <wp:effectExtent l="0" t="0" r="9525" b="9525"/>
            <wp:docPr id="9288" name="Diagramm 9288" title="Lagerung des Maises in Abhängigkeit von Maisanbau im Vorjahr und Pflanzenschutzmaßnahme"/>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402D84" w:rsidRPr="007B4364" w:rsidRDefault="00402D84" w:rsidP="00402D84">
      <w:pPr>
        <w:pStyle w:val="Beschriftung"/>
        <w:rPr>
          <w:color w:val="auto"/>
          <w:lang w:eastAsia="de-DE"/>
        </w:rPr>
      </w:pPr>
      <w:bookmarkStart w:id="226" w:name="_Ref533079088"/>
      <w:bookmarkStart w:id="227" w:name="_Toc533059405"/>
      <w:bookmarkStart w:id="228" w:name="_Toc7715430"/>
      <w:r w:rsidRPr="007B4364">
        <w:rPr>
          <w:color w:val="auto"/>
        </w:rPr>
        <w:t xml:space="preserve">Abbildung </w:t>
      </w:r>
      <w:r w:rsidRPr="007B4364">
        <w:rPr>
          <w:noProof/>
          <w:color w:val="auto"/>
        </w:rPr>
        <w:fldChar w:fldCharType="begin"/>
      </w:r>
      <w:r w:rsidRPr="007B4364">
        <w:rPr>
          <w:noProof/>
          <w:color w:val="auto"/>
        </w:rPr>
        <w:instrText xml:space="preserve"> SEQ Abbildung \* ARABIC </w:instrText>
      </w:r>
      <w:r w:rsidRPr="007B4364">
        <w:rPr>
          <w:noProof/>
          <w:color w:val="auto"/>
        </w:rPr>
        <w:fldChar w:fldCharType="separate"/>
      </w:r>
      <w:r w:rsidR="00B70C83">
        <w:rPr>
          <w:noProof/>
          <w:color w:val="auto"/>
        </w:rPr>
        <w:t>41</w:t>
      </w:r>
      <w:r w:rsidRPr="007B4364">
        <w:rPr>
          <w:noProof/>
          <w:color w:val="auto"/>
        </w:rPr>
        <w:fldChar w:fldCharType="end"/>
      </w:r>
      <w:bookmarkEnd w:id="226"/>
      <w:r w:rsidRPr="007B4364">
        <w:rPr>
          <w:color w:val="auto"/>
        </w:rPr>
        <w:t xml:space="preserve">: Befallsgrad (oben) und </w:t>
      </w:r>
      <w:r w:rsidRPr="007B4364">
        <w:rPr>
          <w:color w:val="auto"/>
          <w:lang w:eastAsia="de-DE"/>
        </w:rPr>
        <w:t>Lagerung des Maises (unten) in Abhängigkeit des Maisjahres und der Pflanzenschutzmaßnahme</w:t>
      </w:r>
      <w:bookmarkEnd w:id="227"/>
      <w:bookmarkEnd w:id="228"/>
    </w:p>
    <w:p w:rsidR="00A35242" w:rsidRPr="007B4364" w:rsidRDefault="00402D84" w:rsidP="00B70C83">
      <w:pPr>
        <w:pStyle w:val="Flietext"/>
        <w:jc w:val="both"/>
        <w:rPr>
          <w:color w:val="auto"/>
        </w:rPr>
      </w:pPr>
      <w:r w:rsidRPr="007B4364">
        <w:rPr>
          <w:color w:val="auto"/>
          <w:lang w:eastAsia="de-DE"/>
        </w:rPr>
        <w:t xml:space="preserve">Der Einfluss des Faktors „Befallsdruck aus dem Vorjahr“ auf dem Anteil der liegenden Pflanzen konnte aufgrund von Datenlücken statistisch nicht ausgewertet werden. Trotzdem zeigte sich der Trend, dass </w:t>
      </w:r>
      <w:r w:rsidRPr="007B4364">
        <w:rPr>
          <w:color w:val="auto"/>
        </w:rPr>
        <w:t xml:space="preserve">der Anteil an liegenden Pflanzen sowohl bei der Dianem Variante als auch bei der Dianem + Insektizid Variante mit dem Befallsdruck aus dem Vorjahr zunimmt. Bei schwerem Vorjahrsbefall ist der Anteil der liegenden Pflanzen bei der Variante Dianem+Insektizid höher als bei Dianem. </w:t>
      </w:r>
    </w:p>
    <w:p w:rsidR="00402D84" w:rsidRPr="00B70C83" w:rsidRDefault="00402D84" w:rsidP="00402D84">
      <w:pPr>
        <w:pStyle w:val="Flietext"/>
        <w:rPr>
          <w:color w:val="auto"/>
        </w:rPr>
      </w:pPr>
      <w:r>
        <w:rPr>
          <w:noProof/>
          <w:lang w:eastAsia="de-AT"/>
        </w:rPr>
        <w:drawing>
          <wp:inline distT="0" distB="0" distL="0" distR="0" wp14:anchorId="59E84420" wp14:editId="5A08C683">
            <wp:extent cx="5683250" cy="2679700"/>
            <wp:effectExtent l="0" t="0" r="12700" b="6350"/>
            <wp:docPr id="9289" name="Diagramm 9289" title="Lagerung des Maises in Abhängigkeit des Vorjahresdruckes und der Pflanzenschuztmaßnahme"/>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402D84" w:rsidRPr="00B70C83" w:rsidRDefault="00402D84" w:rsidP="00B70C83">
      <w:pPr>
        <w:pStyle w:val="Beschriftung"/>
        <w:rPr>
          <w:color w:val="auto"/>
          <w:lang w:eastAsia="de-DE"/>
        </w:rPr>
      </w:pPr>
      <w:bookmarkStart w:id="229" w:name="_Toc533059406"/>
      <w:bookmarkStart w:id="230" w:name="_Toc7715431"/>
      <w:r w:rsidRPr="00B70C83">
        <w:rPr>
          <w:color w:val="auto"/>
        </w:rPr>
        <w:t xml:space="preserve">Abbildung </w:t>
      </w:r>
      <w:r w:rsidRPr="00B70C83">
        <w:rPr>
          <w:noProof/>
          <w:color w:val="auto"/>
        </w:rPr>
        <w:fldChar w:fldCharType="begin"/>
      </w:r>
      <w:r w:rsidRPr="00B70C83">
        <w:rPr>
          <w:noProof/>
          <w:color w:val="auto"/>
        </w:rPr>
        <w:instrText xml:space="preserve"> SEQ Abbildung \* ARABIC </w:instrText>
      </w:r>
      <w:r w:rsidRPr="00B70C83">
        <w:rPr>
          <w:noProof/>
          <w:color w:val="auto"/>
        </w:rPr>
        <w:fldChar w:fldCharType="separate"/>
      </w:r>
      <w:r w:rsidR="00B70C83" w:rsidRPr="00B70C83">
        <w:rPr>
          <w:noProof/>
          <w:color w:val="auto"/>
        </w:rPr>
        <w:t>42</w:t>
      </w:r>
      <w:r w:rsidRPr="00B70C83">
        <w:rPr>
          <w:noProof/>
          <w:color w:val="auto"/>
        </w:rPr>
        <w:fldChar w:fldCharType="end"/>
      </w:r>
      <w:r w:rsidRPr="00B70C83">
        <w:rPr>
          <w:color w:val="auto"/>
        </w:rPr>
        <w:t xml:space="preserve">: </w:t>
      </w:r>
      <w:r w:rsidRPr="00B70C83">
        <w:rPr>
          <w:color w:val="auto"/>
          <w:lang w:eastAsia="de-DE"/>
        </w:rPr>
        <w:t>Lagerung des Maises in Abhängigkeit von Vorjahresdruck und Pflanzenschutzmaßnahme</w:t>
      </w:r>
      <w:bookmarkEnd w:id="229"/>
      <w:bookmarkEnd w:id="230"/>
    </w:p>
    <w:p w:rsidR="00402D84" w:rsidRPr="00E0439C" w:rsidRDefault="00402D84" w:rsidP="00B70C83">
      <w:pPr>
        <w:pStyle w:val="Flietext"/>
        <w:jc w:val="both"/>
        <w:rPr>
          <w:color w:val="auto"/>
        </w:rPr>
      </w:pPr>
      <w:r w:rsidRPr="00E0439C">
        <w:rPr>
          <w:color w:val="auto"/>
        </w:rPr>
        <w:t>Für die Ertragssicherheit einer Maiskultur ist die Maissorte von hoher Bedeutung. Der Anbauzeitpunkt entscheidet über die Schäden durch den Käfer. Je später der Anbau stattfindet, desto höher ist Wahrscheinlichkeit an höheren Narbenfraßschäden. Anderseits erhöht ein früher Saattermin die Wahrscheinlichkeit von Wachstumsverzögerung durch niedrige Temperaturen nach der Aussaat. Alle befragten Landwirte gaben einen frühen Aussaattermin zwischen 3. und 20 April an. Zusätzlich ist die Sortenspezifische Ausbildungsform der Adventivwurzeln verantwortlich für die Standfestigkeit der Pflanze. Die Auswertung der Fragebögen bestätigte, wie auch die</w:t>
      </w:r>
      <w:r w:rsidR="00B70C83">
        <w:rPr>
          <w:color w:val="auto"/>
        </w:rPr>
        <w:t xml:space="preserve"> Ergebnisse der Versuche 2017</w:t>
      </w:r>
      <w:r w:rsidRPr="00E0439C">
        <w:rPr>
          <w:color w:val="auto"/>
        </w:rPr>
        <w:t xml:space="preserve">, die Wichtigkeit der </w:t>
      </w:r>
      <w:r w:rsidRPr="00E0439C">
        <w:rPr>
          <w:b/>
          <w:color w:val="auto"/>
        </w:rPr>
        <w:t>Sortenwahl</w:t>
      </w:r>
      <w:r w:rsidRPr="00E0439C">
        <w:rPr>
          <w:color w:val="auto"/>
        </w:rPr>
        <w:t xml:space="preserve">. Nach dem Aspekt der Standfestigkeit sollten die Sorten Ferarixx und Conexxion vorrangig gesät werden, da diese auch bei trockener Witterung widerstandsfähig gegenüber Maiswurzelbohrerschäden sind. Die Lagerungsneigung Sorten MAS 40 F und MAS 47 P waren gegenüber den beiden vorher genannten leicht erhöht. Im Gegensatz dazu neigte die Sorte Memoxx unabhängig von der Stärke des Käferbefalles zu stärkerer Lagerung. Zusätzlich war bei allen Sorten die Lagerungsstärke im zweiten Maisjahr höher als im ersten. </w:t>
      </w:r>
    </w:p>
    <w:p w:rsidR="00402D84" w:rsidRPr="00E0439C" w:rsidRDefault="00402D84" w:rsidP="00B70C83">
      <w:pPr>
        <w:pStyle w:val="Flietext"/>
        <w:jc w:val="both"/>
        <w:rPr>
          <w:color w:val="auto"/>
        </w:rPr>
      </w:pPr>
      <w:r w:rsidRPr="00E0439C">
        <w:rPr>
          <w:color w:val="auto"/>
        </w:rPr>
        <w:t xml:space="preserve">Die Wahl der </w:t>
      </w:r>
      <w:r w:rsidRPr="00E0439C">
        <w:rPr>
          <w:b/>
          <w:color w:val="auto"/>
        </w:rPr>
        <w:t>Pflanzenschutzmaßnahme</w:t>
      </w:r>
      <w:r w:rsidRPr="00E0439C">
        <w:rPr>
          <w:color w:val="auto"/>
        </w:rPr>
        <w:t xml:space="preserve"> ist ein weiterer ausschlaggebender Faktor für den Ertrag der Kultur. Die Auswertung der Fragebögen ergab jedoch keine schlüssigen Aussagen zu diesem Thema. Es wurde lediglich erneut die Zunahme von Befallsgrad und Lagerung im zweiten Maisjahr bestätigt.</w:t>
      </w:r>
    </w:p>
    <w:p w:rsidR="00402D84" w:rsidRPr="00E0439C" w:rsidRDefault="00402D84" w:rsidP="00B70C83">
      <w:pPr>
        <w:pStyle w:val="Flietext"/>
        <w:jc w:val="both"/>
        <w:rPr>
          <w:color w:val="auto"/>
        </w:rPr>
      </w:pPr>
      <w:r w:rsidRPr="00E0439C">
        <w:rPr>
          <w:color w:val="auto"/>
        </w:rPr>
        <w:t xml:space="preserve">Die Wichtigkeit der Einhaltung des </w:t>
      </w:r>
      <w:r w:rsidRPr="00E0439C">
        <w:rPr>
          <w:b/>
          <w:color w:val="auto"/>
        </w:rPr>
        <w:t>Fruchtwechsel</w:t>
      </w:r>
      <w:r w:rsidRPr="00E0439C">
        <w:rPr>
          <w:color w:val="auto"/>
        </w:rPr>
        <w:t xml:space="preserve">s war hingegen deutlich darstellbar. Der Befallsgrad durch </w:t>
      </w:r>
      <w:r w:rsidRPr="00E0439C">
        <w:rPr>
          <w:i/>
          <w:color w:val="auto"/>
        </w:rPr>
        <w:t>D. virgifera</w:t>
      </w:r>
      <w:r w:rsidRPr="00E0439C">
        <w:rPr>
          <w:color w:val="auto"/>
        </w:rPr>
        <w:t xml:space="preserve"> nahm mit jedem zusätzlichen Standjahr des Maises zu. Zusätzlich stieg der durchschnittliche Befallsgrad aller Maisfelder in den Jahren 2015 bis 2017. </w:t>
      </w:r>
      <w:r w:rsidRPr="001D3CB3">
        <w:rPr>
          <w:color w:val="auto"/>
        </w:rPr>
        <w:t xml:space="preserve">Im zweiten Maisjahr war sowohl die Lagerhäufigkeit als auch Lagerungsstärke höher als im ersten Maisjahr (vgl. </w:t>
      </w:r>
      <w:r w:rsidRPr="001D3CB3">
        <w:rPr>
          <w:color w:val="auto"/>
        </w:rPr>
        <w:fldChar w:fldCharType="begin"/>
      </w:r>
      <w:r w:rsidRPr="001D3CB3">
        <w:rPr>
          <w:color w:val="auto"/>
        </w:rPr>
        <w:instrText xml:space="preserve"> REF _Ref533059669 \r \h </w:instrText>
      </w:r>
      <w:r w:rsidR="00B70C83" w:rsidRPr="001D3CB3">
        <w:rPr>
          <w:color w:val="auto"/>
        </w:rPr>
        <w:instrText xml:space="preserve"> \* MERGEFORMAT </w:instrText>
      </w:r>
      <w:r w:rsidRPr="001D3CB3">
        <w:rPr>
          <w:color w:val="auto"/>
        </w:rPr>
      </w:r>
      <w:r w:rsidRPr="001D3CB3">
        <w:rPr>
          <w:color w:val="auto"/>
        </w:rPr>
        <w:fldChar w:fldCharType="separate"/>
      </w:r>
      <w:r w:rsidR="00B70C83" w:rsidRPr="001D3CB3">
        <w:rPr>
          <w:color w:val="auto"/>
        </w:rPr>
        <w:t>2.13.3.1</w:t>
      </w:r>
      <w:r w:rsidRPr="001D3CB3">
        <w:rPr>
          <w:color w:val="auto"/>
        </w:rPr>
        <w:fldChar w:fldCharType="end"/>
      </w:r>
      <w:r w:rsidRPr="001D3CB3">
        <w:rPr>
          <w:color w:val="auto"/>
        </w:rPr>
        <w:t>.). Für</w:t>
      </w:r>
      <w:r w:rsidRPr="00E0439C">
        <w:rPr>
          <w:color w:val="auto"/>
        </w:rPr>
        <w:t xml:space="preserve"> Kulturen ab drei Jahre Zwischenfrucht wurde keine Lagerung genannt!</w:t>
      </w:r>
    </w:p>
    <w:p w:rsidR="00B70C83" w:rsidRDefault="00B70C83">
      <w:r>
        <w:br w:type="page"/>
      </w:r>
    </w:p>
    <w:p w:rsidR="001C7150" w:rsidRDefault="001848E3" w:rsidP="001C7150">
      <w:pPr>
        <w:pStyle w:val="berschrift2Grad"/>
        <w:rPr>
          <w:rStyle w:val="Einleitung"/>
          <w:rFonts w:eastAsiaTheme="minorEastAsia" w:cs="Times New Roman"/>
        </w:rPr>
      </w:pPr>
      <w:bookmarkStart w:id="231" w:name="_Toc7715600"/>
      <w:r>
        <w:rPr>
          <w:rStyle w:val="Einleitung"/>
          <w:rFonts w:eastAsiaTheme="minorEastAsia" w:cs="Times New Roman"/>
        </w:rPr>
        <w:t xml:space="preserve">Der insektenpathogene Pilz </w:t>
      </w:r>
      <w:r w:rsidR="001C7150" w:rsidRPr="006143DE">
        <w:rPr>
          <w:rStyle w:val="Einleitung"/>
          <w:rFonts w:eastAsiaTheme="minorEastAsia" w:cs="Times New Roman"/>
          <w:i/>
        </w:rPr>
        <w:t>L</w:t>
      </w:r>
      <w:r w:rsidRPr="006143DE">
        <w:rPr>
          <w:rStyle w:val="Einleitung"/>
          <w:rFonts w:eastAsiaTheme="minorEastAsia" w:cs="Times New Roman"/>
          <w:i/>
        </w:rPr>
        <w:t>ecanicillium</w:t>
      </w:r>
      <w:r w:rsidR="001C7150" w:rsidRPr="006143DE">
        <w:rPr>
          <w:rStyle w:val="Einleitung"/>
          <w:rFonts w:eastAsiaTheme="minorEastAsia" w:cs="Times New Roman"/>
          <w:i/>
        </w:rPr>
        <w:t xml:space="preserve"> lecanii</w:t>
      </w:r>
      <w:bookmarkEnd w:id="231"/>
    </w:p>
    <w:p w:rsidR="004E619E" w:rsidRDefault="004E619E" w:rsidP="004E619E">
      <w:pPr>
        <w:pStyle w:val="Flietext"/>
        <w:jc w:val="both"/>
      </w:pPr>
      <w:r w:rsidRPr="004E619E">
        <w:t xml:space="preserve">Die Bedeutung entomopathogener Pilze zur mikrobiologischen Bekämpfung von Schadinsekten hat in den vergangenen Jahren zugenommen. Neben </w:t>
      </w:r>
      <w:r w:rsidRPr="004E619E">
        <w:rPr>
          <w:i/>
        </w:rPr>
        <w:t>Beauveria bassiana</w:t>
      </w:r>
      <w:r w:rsidRPr="004E619E">
        <w:t xml:space="preserve"> (Bals.) </w:t>
      </w:r>
      <w:r w:rsidRPr="004E619E">
        <w:rPr>
          <w:i/>
        </w:rPr>
        <w:t>Vuillemin, Metarhizium brunneum</w:t>
      </w:r>
      <w:r w:rsidRPr="004E619E">
        <w:t xml:space="preserve"> (Metch.) Sorokin. und </w:t>
      </w:r>
      <w:r w:rsidRPr="004E619E">
        <w:rPr>
          <w:i/>
        </w:rPr>
        <w:t>Paecilomyces fumosoroseus</w:t>
      </w:r>
      <w:r w:rsidRPr="004E619E">
        <w:t xml:space="preserve"> (Wize) A.H.S.Br. &amp; G.Sm., zählt </w:t>
      </w:r>
      <w:r w:rsidRPr="004E619E">
        <w:rPr>
          <w:i/>
        </w:rPr>
        <w:t xml:space="preserve">Lecanicillium </w:t>
      </w:r>
      <w:r w:rsidRPr="004E619E">
        <w:t>spp. zu den wichtigsten entomopathogenen Hyphomyceten</w:t>
      </w:r>
      <w:r>
        <w:t xml:space="preserve">. </w:t>
      </w:r>
      <w:r w:rsidRPr="004E619E">
        <w:t xml:space="preserve">Die Wirksamkeit von </w:t>
      </w:r>
      <w:r w:rsidRPr="004E619E">
        <w:rPr>
          <w:i/>
        </w:rPr>
        <w:t xml:space="preserve">Lecanicillium </w:t>
      </w:r>
      <w:r w:rsidRPr="004E619E">
        <w:t xml:space="preserve">spp. wurde in der Vergangenheit nicht nur gegen Blattläuse, Weiße Fliegen, Thripse, Schildläuse und Nematoden getestet, sondern auch als Hyperparasiten pflanzenpathogener Pilze kamen sie zum Einsatz (HALL, 1981; SCHREITER, 1994; EKBOM, 1979; KANAGARATNAM, 1982; MEYER &amp; MEYER, 1996). Im Zuge einer Laborzucht des Maiswurzelbohrers </w:t>
      </w:r>
      <w:r w:rsidRPr="004E619E">
        <w:rPr>
          <w:i/>
        </w:rPr>
        <w:t>Diabrotica virgifera</w:t>
      </w:r>
      <w:r w:rsidRPr="004E619E">
        <w:t xml:space="preserve"> wurde der auf </w:t>
      </w:r>
      <w:r w:rsidRPr="004E619E">
        <w:rPr>
          <w:i/>
        </w:rPr>
        <w:t>Diabrotica</w:t>
      </w:r>
      <w:r w:rsidRPr="004E619E">
        <w:t xml:space="preserve">-Eiern gefundene Pilz </w:t>
      </w:r>
      <w:r w:rsidRPr="004E619E">
        <w:rPr>
          <w:i/>
        </w:rPr>
        <w:t>Lecanicillium lecanii</w:t>
      </w:r>
      <w:r w:rsidRPr="004E619E">
        <w:t xml:space="preserve"> (Zimmermann) Zare &amp; Games isoliert. </w:t>
      </w:r>
      <w:r w:rsidRPr="004E619E">
        <w:rPr>
          <w:i/>
        </w:rPr>
        <w:t>Lecanicillium lecanii</w:t>
      </w:r>
      <w:r w:rsidRPr="004E619E">
        <w:t xml:space="preserve"> ist somit auch in der Lage bodenbürtige Insektenstadien zu befallen. Ziel der Arbeit im ersten Jahr war es, im Hinblick auf eine neue Bekämpfungsstrategie gegen </w:t>
      </w:r>
      <w:r w:rsidRPr="004E619E">
        <w:rPr>
          <w:i/>
        </w:rPr>
        <w:t>Diabrotica virgifera</w:t>
      </w:r>
      <w:r w:rsidRPr="004E619E">
        <w:t xml:space="preserve">, die Temperaturcharakteristik des </w:t>
      </w:r>
      <w:r w:rsidRPr="00DB1640">
        <w:rPr>
          <w:i/>
        </w:rPr>
        <w:t>Lecanicillium</w:t>
      </w:r>
      <w:r w:rsidR="00DB1640">
        <w:t>-</w:t>
      </w:r>
      <w:r w:rsidRPr="004E619E">
        <w:t xml:space="preserve"> Eigenisolats im Labor zu untersuchen, um in weiterer Folge dessen Infektionsmodus an </w:t>
      </w:r>
      <w:r w:rsidRPr="004E619E">
        <w:rPr>
          <w:i/>
        </w:rPr>
        <w:t>Diabrotica</w:t>
      </w:r>
      <w:r w:rsidRPr="004E619E">
        <w:t>-Eiern bzw. Larven sowie die optimale Ausbringungszeit und -technik im Freien besser abschätzen zu können.</w:t>
      </w:r>
      <w:r>
        <w:t xml:space="preserve"> </w:t>
      </w:r>
    </w:p>
    <w:p w:rsidR="004E619E" w:rsidRDefault="004E619E" w:rsidP="00176A8E">
      <w:pPr>
        <w:pStyle w:val="1Unterkapitel"/>
      </w:pPr>
      <w:bookmarkStart w:id="232" w:name="_Toc7715601"/>
      <w:r>
        <w:t>Laborversuche mit lecanicillium lecanii</w:t>
      </w:r>
      <w:bookmarkEnd w:id="232"/>
    </w:p>
    <w:p w:rsidR="004E619E" w:rsidRDefault="004E619E" w:rsidP="004E619E">
      <w:pPr>
        <w:pStyle w:val="Flietext"/>
        <w:jc w:val="both"/>
      </w:pPr>
      <w:r w:rsidRPr="004E619E">
        <w:t xml:space="preserve">Im Zuge der an der Österreichischen Agentur für Gesundheit und Ernährungssicherheit Wien durchgeführten </w:t>
      </w:r>
      <w:r w:rsidRPr="004E619E">
        <w:rPr>
          <w:i/>
        </w:rPr>
        <w:t>Diabrotica virgifera</w:t>
      </w:r>
      <w:r w:rsidRPr="004E619E">
        <w:t xml:space="preserve"> Zucht wurden mit </w:t>
      </w:r>
      <w:r w:rsidRPr="004E619E">
        <w:rPr>
          <w:i/>
        </w:rPr>
        <w:t>Lecanicillium lecanii</w:t>
      </w:r>
      <w:r w:rsidRPr="004E619E">
        <w:t xml:space="preserve"> infizierte Eier festgestellt. Nach einer Isolation und Identifizierung des entomopathogenen Pilzes wurde dessen Temperaturcharakteristik im Labor genauer untersucht. Parallel dazu wurden Versuche mit dem aus dem ehemaligen Mycotal-Präparat von Koppert isolierten </w:t>
      </w:r>
      <w:r w:rsidRPr="004E619E">
        <w:rPr>
          <w:i/>
        </w:rPr>
        <w:t>Lecanicillium muscarium</w:t>
      </w:r>
      <w:r w:rsidRPr="004E619E">
        <w:t xml:space="preserve"> durchgeführt, um Vergleiche anstellen zu können. Die Versuche haben gezeigt, dass der bodenbürtige Pilz </w:t>
      </w:r>
      <w:r w:rsidRPr="004E619E">
        <w:rPr>
          <w:i/>
        </w:rPr>
        <w:t>Lecanicillium lecanii</w:t>
      </w:r>
      <w:r w:rsidRPr="004E619E">
        <w:t xml:space="preserve"> besser an Dunkelheit und niedrige Temperaturen angepasst ist als der Pilz des Blattapplikats Mycotal. Während </w:t>
      </w:r>
      <w:r w:rsidRPr="004E619E">
        <w:rPr>
          <w:i/>
        </w:rPr>
        <w:t>L. lecanii</w:t>
      </w:r>
      <w:r w:rsidRPr="004E619E">
        <w:t xml:space="preserve"> bei -2°C noch wächst, konnte bei +37°C kein Wachstum mehr festgestellt werden. Sein Temperaturoptimum dürfte in etwa bei 25°C liegen. Diese Eigenschaften konnte auch bei den Sporenkeimungsversuchen beobachtet werden. Bei +6°C betrug die Sporenkeimungsrate bei L. lecanii nach 70 Stunden etwa 80% und war somit doppelt so hoch wie bei </w:t>
      </w:r>
      <w:r w:rsidRPr="00DB1640">
        <w:rPr>
          <w:i/>
        </w:rPr>
        <w:t>L. muscarium</w:t>
      </w:r>
      <w:r w:rsidRPr="004E619E">
        <w:t>. Die Kenntnis über die Temperaturcharakteristik ist für einen zukünftigen Praxiseinsatz des Pilzes im Freiland sehr wichtig.</w:t>
      </w:r>
    </w:p>
    <w:p w:rsidR="00D933FF" w:rsidRDefault="004E619E" w:rsidP="004E619E">
      <w:pPr>
        <w:pStyle w:val="Flietext"/>
        <w:jc w:val="both"/>
      </w:pPr>
      <w:r w:rsidRPr="00D83848">
        <w:rPr>
          <w:b/>
        </w:rPr>
        <w:t>Pilzkulturen:</w:t>
      </w:r>
      <w:r>
        <w:t xml:space="preserve"> In den Versuchen wurden 2 verschiedene Pilze der Gattung </w:t>
      </w:r>
      <w:r w:rsidRPr="001D3CB3">
        <w:rPr>
          <w:i/>
        </w:rPr>
        <w:t>Lecanicillium</w:t>
      </w:r>
      <w:r w:rsidRPr="001D3CB3">
        <w:t xml:space="preserve"> (</w:t>
      </w:r>
      <w:r w:rsidR="00D83848" w:rsidRPr="001D3CB3">
        <w:t>Abbildung 43)</w:t>
      </w:r>
      <w:r w:rsidRPr="001D3CB3">
        <w:t xml:space="preserve"> verwendet. Während ein Isolat von dem bis vor zwei Jahren käuflichen Mycotal-Präparat (Koppert) stammt</w:t>
      </w:r>
      <w:r>
        <w:t>, wurde unser Eigenisolat aus einem fruchtbaren sandigen Boden (Marchegg, NÖ) isoliert. Das Eigenisolat wurde durch G</w:t>
      </w:r>
      <w:r w:rsidR="00DB1640">
        <w:t>ottsberger</w:t>
      </w:r>
      <w:r>
        <w:t xml:space="preserve"> Richard (AGES) genetisch als </w:t>
      </w:r>
      <w:r w:rsidRPr="00D83848">
        <w:rPr>
          <w:i/>
        </w:rPr>
        <w:t>Lecanicillium lecanii</w:t>
      </w:r>
      <w:r>
        <w:t xml:space="preserve"> identifiziert. Laut K</w:t>
      </w:r>
      <w:r w:rsidR="00DB1640">
        <w:t xml:space="preserve">oppert </w:t>
      </w:r>
      <w:r>
        <w:t xml:space="preserve">wurde für das Mycotal-Präparat der Pilz </w:t>
      </w:r>
      <w:r w:rsidRPr="00D83848">
        <w:rPr>
          <w:i/>
        </w:rPr>
        <w:t>Lecanicillium muscarium</w:t>
      </w:r>
      <w:r>
        <w:t xml:space="preserve"> (früher </w:t>
      </w:r>
      <w:r w:rsidRPr="00D83848">
        <w:rPr>
          <w:i/>
        </w:rPr>
        <w:t>Lecanicillium lecanii, Verticillium lecanii</w:t>
      </w:r>
      <w:r>
        <w:t xml:space="preserve">) verwendet. Die Kultivierung der Pilze erfolgte auf Potato Dextrose Agar (PDA) bei +19°C und Dunkelheit. Für die Versuche wurden 1-2 Monate alte Platten verwendet. </w:t>
      </w:r>
    </w:p>
    <w:p w:rsidR="00D933FF" w:rsidRPr="00B70C83" w:rsidRDefault="00D83848" w:rsidP="00D933FF">
      <w:pPr>
        <w:pStyle w:val="Beschriftung"/>
        <w:ind w:left="0"/>
        <w:rPr>
          <w:color w:val="auto"/>
          <w:lang w:eastAsia="de-DE"/>
        </w:rPr>
      </w:pPr>
      <w:r>
        <w:rPr>
          <w:rFonts w:ascii="Calibri" w:hAnsi="Calibri"/>
          <w:noProof/>
          <w:lang w:eastAsia="de-AT"/>
        </w:rPr>
        <w:drawing>
          <wp:inline distT="0" distB="0" distL="0" distR="0">
            <wp:extent cx="3400425" cy="1671955"/>
            <wp:effectExtent l="0" t="0" r="9525" b="4445"/>
            <wp:docPr id="9315" name="Grafik 9315" descr="WP_20160502_12_33_43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WP_20160502_12_33_43_Pro"/>
                    <pic:cNvPicPr>
                      <a:picLocks noChangeAspect="1" noChangeArrowheads="1"/>
                    </pic:cNvPicPr>
                  </pic:nvPicPr>
                  <pic:blipFill>
                    <a:blip r:embed="rId86">
                      <a:extLst>
                        <a:ext uri="{28A0092B-C50C-407E-A947-70E740481C1C}">
                          <a14:useLocalDpi xmlns:a14="http://schemas.microsoft.com/office/drawing/2010/main" val="0"/>
                        </a:ext>
                      </a:extLst>
                    </a:blip>
                    <a:srcRect l="8405" t="15337" r="9843" b="12776"/>
                    <a:stretch>
                      <a:fillRect/>
                    </a:stretch>
                  </pic:blipFill>
                  <pic:spPr bwMode="auto">
                    <a:xfrm>
                      <a:off x="0" y="0"/>
                      <a:ext cx="3400425" cy="1671955"/>
                    </a:xfrm>
                    <a:prstGeom prst="rect">
                      <a:avLst/>
                    </a:prstGeom>
                    <a:noFill/>
                    <a:ln>
                      <a:noFill/>
                    </a:ln>
                  </pic:spPr>
                </pic:pic>
              </a:graphicData>
            </a:graphic>
          </wp:inline>
        </w:drawing>
      </w:r>
      <w:r w:rsidR="00D933FF" w:rsidRPr="00D933FF">
        <w:rPr>
          <w:color w:val="auto"/>
        </w:rPr>
        <w:t xml:space="preserve"> </w:t>
      </w:r>
    </w:p>
    <w:p w:rsidR="00D83848" w:rsidRPr="00B70C83" w:rsidRDefault="00D83848" w:rsidP="00D933FF">
      <w:pPr>
        <w:pStyle w:val="Beschriftung"/>
        <w:ind w:left="0"/>
        <w:rPr>
          <w:color w:val="auto"/>
          <w:lang w:eastAsia="de-DE"/>
        </w:rPr>
      </w:pPr>
      <w:bookmarkStart w:id="233" w:name="_Toc7715432"/>
      <w:r w:rsidRPr="00B70C83">
        <w:rPr>
          <w:color w:val="auto"/>
        </w:rPr>
        <w:t xml:space="preserve">Abbildung </w:t>
      </w:r>
      <w:r w:rsidRPr="00B70C83">
        <w:rPr>
          <w:noProof/>
          <w:color w:val="auto"/>
        </w:rPr>
        <w:fldChar w:fldCharType="begin"/>
      </w:r>
      <w:r w:rsidRPr="00B70C83">
        <w:rPr>
          <w:noProof/>
          <w:color w:val="auto"/>
        </w:rPr>
        <w:instrText xml:space="preserve"> SEQ Abbildung \* ARABIC </w:instrText>
      </w:r>
      <w:r w:rsidRPr="00B70C83">
        <w:rPr>
          <w:noProof/>
          <w:color w:val="auto"/>
        </w:rPr>
        <w:fldChar w:fldCharType="separate"/>
      </w:r>
      <w:r>
        <w:rPr>
          <w:noProof/>
          <w:color w:val="auto"/>
        </w:rPr>
        <w:t>43</w:t>
      </w:r>
      <w:r w:rsidRPr="00B70C83">
        <w:rPr>
          <w:noProof/>
          <w:color w:val="auto"/>
        </w:rPr>
        <w:fldChar w:fldCharType="end"/>
      </w:r>
      <w:r w:rsidRPr="00B70C83">
        <w:rPr>
          <w:color w:val="auto"/>
        </w:rPr>
        <w:t xml:space="preserve">: </w:t>
      </w:r>
      <w:r w:rsidRPr="00D83848">
        <w:rPr>
          <w:color w:val="auto"/>
          <w:lang w:eastAsia="de-DE"/>
        </w:rPr>
        <w:t>links L. muscarium (Mycotal) und rechts L. lecanii (Eigenisolat)</w:t>
      </w:r>
      <w:bookmarkEnd w:id="233"/>
    </w:p>
    <w:p w:rsidR="00D83848" w:rsidRDefault="00D83848" w:rsidP="004E619E">
      <w:pPr>
        <w:pStyle w:val="Flietext"/>
        <w:jc w:val="both"/>
      </w:pPr>
    </w:p>
    <w:p w:rsidR="004E619E" w:rsidRDefault="004E619E" w:rsidP="00DB1640">
      <w:pPr>
        <w:pStyle w:val="11Unterkapitel"/>
      </w:pPr>
      <w:bookmarkStart w:id="234" w:name="_Toc7715602"/>
      <w:r>
        <w:t>Myzelwachstumsversuche:</w:t>
      </w:r>
      <w:bookmarkEnd w:id="234"/>
    </w:p>
    <w:p w:rsidR="004E619E" w:rsidRDefault="004E619E" w:rsidP="004E619E">
      <w:pPr>
        <w:pStyle w:val="Flietext"/>
        <w:jc w:val="both"/>
      </w:pPr>
      <w:r>
        <w:t>Auf mittig gestanzten und infizierten PDA-Platten wurde bei u</w:t>
      </w:r>
      <w:r w:rsidR="00D83848">
        <w:t xml:space="preserve">nterschiedlichen Temperaturen </w:t>
      </w:r>
      <w:r>
        <w:t xml:space="preserve">(-2°C, 0, +2, +4, +6, +15, +19, +25 und +37°C) und Dunkelheit in unterschiedlichen Zeitabständen der Wachstumsradius gemessen. </w:t>
      </w:r>
    </w:p>
    <w:p w:rsidR="00D83848" w:rsidRDefault="00D83848" w:rsidP="004E619E">
      <w:pPr>
        <w:pStyle w:val="Flietext"/>
        <w:jc w:val="both"/>
      </w:pPr>
      <w:r w:rsidRPr="00D83848">
        <w:t xml:space="preserve">Die </w:t>
      </w:r>
      <w:r w:rsidRPr="001D3CB3">
        <w:t>Myzelwachstumsversuche haben ergeben, dass beide Pilze ein lineares Wachstum bezüglich Temperatur aufweisen. In Abbildung 44 ist zu</w:t>
      </w:r>
      <w:r w:rsidRPr="00D83848">
        <w:t xml:space="preserve"> sehen, dass Mycotal speziell bei den höheren Temperaturen schneller  wächst als unser Eigenisolat. Dies lässt darauf schließen, dass Mycotal, welcher ursprünglich in Form einer Blattapplikation gegen Larven von Weißen Fliegen und Thripsen zum Einsatz kam, besser an höhere Temperaturen angepasst ist, als unser bodenbürtiges Eigenisolat. Das Eigenisolat stellt bei +37°C sein Wachstum ein, nach etwa 2,5 Monaten Lagerung bei -2°C konnte jedoch ein deutlicher Zuwachs von durchschnittlich 1,6 mm/d verzeichnet werden.</w:t>
      </w:r>
    </w:p>
    <w:p w:rsidR="00D83848" w:rsidRDefault="00D83848" w:rsidP="004E619E">
      <w:pPr>
        <w:pStyle w:val="Flietext"/>
        <w:jc w:val="both"/>
      </w:pPr>
      <w:r>
        <w:rPr>
          <w:rFonts w:ascii="Calibri" w:hAnsi="Calibri"/>
          <w:noProof/>
          <w:lang w:eastAsia="de-AT"/>
        </w:rPr>
        <w:drawing>
          <wp:inline distT="0" distB="0" distL="0" distR="0" wp14:anchorId="38D9A7BF" wp14:editId="238AF37F">
            <wp:extent cx="3943350" cy="2895600"/>
            <wp:effectExtent l="0" t="0" r="0" b="0"/>
            <wp:docPr id="9316" name="Grafik 9316" title="Myzelwachstums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943350" cy="2895600"/>
                    </a:xfrm>
                    <a:prstGeom prst="rect">
                      <a:avLst/>
                    </a:prstGeom>
                    <a:noFill/>
                    <a:ln>
                      <a:noFill/>
                    </a:ln>
                  </pic:spPr>
                </pic:pic>
              </a:graphicData>
            </a:graphic>
          </wp:inline>
        </w:drawing>
      </w:r>
    </w:p>
    <w:p w:rsidR="00D83848" w:rsidRPr="00B70C83" w:rsidRDefault="00D83848" w:rsidP="00D83848">
      <w:pPr>
        <w:pStyle w:val="Beschriftung"/>
        <w:rPr>
          <w:color w:val="auto"/>
          <w:lang w:eastAsia="de-DE"/>
        </w:rPr>
      </w:pPr>
      <w:bookmarkStart w:id="235" w:name="_Toc7715433"/>
      <w:r w:rsidRPr="00B70C83">
        <w:rPr>
          <w:color w:val="auto"/>
        </w:rPr>
        <w:t xml:space="preserve">Abbildung </w:t>
      </w:r>
      <w:r w:rsidRPr="00B70C83">
        <w:rPr>
          <w:noProof/>
          <w:color w:val="auto"/>
        </w:rPr>
        <w:fldChar w:fldCharType="begin"/>
      </w:r>
      <w:r w:rsidRPr="00B70C83">
        <w:rPr>
          <w:noProof/>
          <w:color w:val="auto"/>
        </w:rPr>
        <w:instrText xml:space="preserve"> SEQ Abbildung \* ARABIC </w:instrText>
      </w:r>
      <w:r w:rsidRPr="00B70C83">
        <w:rPr>
          <w:noProof/>
          <w:color w:val="auto"/>
        </w:rPr>
        <w:fldChar w:fldCharType="separate"/>
      </w:r>
      <w:r>
        <w:rPr>
          <w:noProof/>
          <w:color w:val="auto"/>
        </w:rPr>
        <w:t>44</w:t>
      </w:r>
      <w:r w:rsidRPr="00B70C83">
        <w:rPr>
          <w:noProof/>
          <w:color w:val="auto"/>
        </w:rPr>
        <w:fldChar w:fldCharType="end"/>
      </w:r>
      <w:r w:rsidRPr="00B70C83">
        <w:rPr>
          <w:color w:val="auto"/>
        </w:rPr>
        <w:t xml:space="preserve">: </w:t>
      </w:r>
      <w:r w:rsidRPr="00D83848">
        <w:rPr>
          <w:color w:val="auto"/>
          <w:lang w:eastAsia="de-DE"/>
        </w:rPr>
        <w:t>Myzelwachstumsrate [mm/d] bei unterschiedlichen Temperaturen</w:t>
      </w:r>
      <w:bookmarkEnd w:id="235"/>
    </w:p>
    <w:p w:rsidR="00D83848" w:rsidRDefault="00D83848" w:rsidP="004E619E">
      <w:pPr>
        <w:pStyle w:val="Flietext"/>
        <w:jc w:val="both"/>
      </w:pPr>
    </w:p>
    <w:p w:rsidR="004E619E" w:rsidRDefault="004E619E" w:rsidP="00D83848">
      <w:pPr>
        <w:pStyle w:val="11Unterkapitel"/>
      </w:pPr>
      <w:bookmarkStart w:id="236" w:name="_Toc7715603"/>
      <w:r>
        <w:t>Sporulierungsversuche:</w:t>
      </w:r>
      <w:bookmarkEnd w:id="236"/>
    </w:p>
    <w:p w:rsidR="004E619E" w:rsidRDefault="004E619E" w:rsidP="004E619E">
      <w:pPr>
        <w:pStyle w:val="Flietext"/>
        <w:jc w:val="both"/>
      </w:pPr>
      <w:r>
        <w:t xml:space="preserve">Beimpfte PDA-Platten wurden bei unterschiedlichen Temperaturen (0, +2, +4, +6, +15, +19 und +25°C) dunkel kultiviert und auf ihre Sporulierung überprüft. </w:t>
      </w:r>
    </w:p>
    <w:p w:rsidR="004E619E" w:rsidRDefault="00E9627E" w:rsidP="004E619E">
      <w:pPr>
        <w:pStyle w:val="Flietext"/>
        <w:jc w:val="both"/>
      </w:pPr>
      <w:r w:rsidRPr="00E9627E">
        <w:t xml:space="preserve">Die Sporulierung bei unterschiedlichen Temperaturen wurde ausschließlich bei unserem Eigenisolat untersucht. Bei 25°C und 19°C bildet der Pilz sehr schnell Konidien aus. Bereits nach 3 Tagen waren Konidien sichtbar. Bei 15°C war dies nach 6 Tagen der Fall. Bei 4°C und 6°C wurde eine beginnende Sporulierung nach 10 Tagen verzeichnet. Die Sporenbildung bei 2°C setzte in etwa nach 2 Wochen ein </w:t>
      </w:r>
      <w:r>
        <w:t xml:space="preserve">und bei 0°C nach 3-4 Wochen. </w:t>
      </w:r>
    </w:p>
    <w:p w:rsidR="004E619E" w:rsidRDefault="004E619E" w:rsidP="00D83848">
      <w:pPr>
        <w:pStyle w:val="11Unterkapitel"/>
      </w:pPr>
      <w:bookmarkStart w:id="237" w:name="_Toc7715604"/>
      <w:r>
        <w:t>Sporenkeimungsversuche:</w:t>
      </w:r>
      <w:bookmarkEnd w:id="237"/>
    </w:p>
    <w:p w:rsidR="004E619E" w:rsidRDefault="004E619E" w:rsidP="004E619E">
      <w:pPr>
        <w:pStyle w:val="Flietext"/>
        <w:jc w:val="both"/>
      </w:pPr>
      <w:r>
        <w:t>Es wurde eine Sporensuspension mittels Czapek-Dox-Nährlösung (CzD) mit einer Konzentration von 10^7 Sporen/ml hergestellt. In 96-well Microtiterplatten wurden pro Well 100 µl Sporensuspension und 100 µl CzD-Nährlösung gefüllt. Anschließend am Schüttler (200 rpm), bei Dunkelheit und +6°C bzw. +19°C inkubiert. Die Sporenkeimung wurde mittels Bürker-Türk-Zählkammer bei +19°C nach 15 und 20 Stunden und bei +6°C nach 48, 70 und 96h gemessen.</w:t>
      </w:r>
    </w:p>
    <w:p w:rsidR="00D83848" w:rsidRDefault="00176A8E" w:rsidP="004E619E">
      <w:pPr>
        <w:pStyle w:val="Flietext"/>
        <w:jc w:val="both"/>
      </w:pPr>
      <w:r w:rsidRPr="00176A8E">
        <w:t xml:space="preserve">Die </w:t>
      </w:r>
      <w:r w:rsidRPr="001D3CB3">
        <w:t>Sporenkeimungsversuche (Abbildung 45) haben ergeben, dass die Konidien des Eigenisolates deutlich schneller bei 19°C und Dunkelheit keimen als jene</w:t>
      </w:r>
      <w:r w:rsidRPr="00176A8E">
        <w:t xml:space="preserve"> des Mycotal-Pilzes. Nach 15 Stunden waren beim Eigenisolat etwa dreimal so viele Konidien gekeimt, wie beim Mycotal. Auch die Keimschläuche waren beim Eigenisolat deutlich länger. Dies lässt schlussfolgern, dass die Mycotal-Konidien wahrscheinlich Licht zur optimalen Keimung benötigen, wohingegen die Konidien des Eigenisolates besser an die Dunkelheit angepasst sind. Bei +6°C waren die Unterschiede in der Sporenkeimung noch größer. Während das Eigenisolat nach 70 Stunden eine Sporenkeimungsrate von etwa 80% aufwies, waren beim Mycotal nur etwa halb so viele Sporen gekeimt.</w:t>
      </w:r>
    </w:p>
    <w:p w:rsidR="00D83848" w:rsidRDefault="00176A8E" w:rsidP="004E619E">
      <w:pPr>
        <w:pStyle w:val="Flietext"/>
        <w:jc w:val="both"/>
      </w:pPr>
      <w:r>
        <w:rPr>
          <w:rFonts w:ascii="Calibri" w:hAnsi="Calibri"/>
          <w:noProof/>
          <w:lang w:eastAsia="de-AT"/>
        </w:rPr>
        <w:drawing>
          <wp:anchor distT="0" distB="0" distL="114300" distR="114300" simplePos="0" relativeHeight="251838976" behindDoc="1" locked="0" layoutInCell="1" allowOverlap="1" wp14:anchorId="21D42EAD" wp14:editId="6815EEAB">
            <wp:simplePos x="0" y="0"/>
            <wp:positionH relativeFrom="column">
              <wp:posOffset>3079115</wp:posOffset>
            </wp:positionH>
            <wp:positionV relativeFrom="paragraph">
              <wp:posOffset>172085</wp:posOffset>
            </wp:positionV>
            <wp:extent cx="2853055" cy="1985645"/>
            <wp:effectExtent l="0" t="0" r="4445" b="0"/>
            <wp:wrapTight wrapText="bothSides">
              <wp:wrapPolygon edited="0">
                <wp:start x="0" y="0"/>
                <wp:lineTo x="0" y="21344"/>
                <wp:lineTo x="21489" y="21344"/>
                <wp:lineTo x="21489" y="0"/>
                <wp:lineTo x="0" y="0"/>
              </wp:wrapPolygon>
            </wp:wrapTight>
            <wp:docPr id="9318" name="Grafik 9318" title="Sporenkeimrate bei 6 Gr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53055" cy="19856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de-AT"/>
        </w:rPr>
        <w:drawing>
          <wp:inline distT="0" distB="0" distL="0" distR="0" wp14:anchorId="7915C4EB" wp14:editId="7FC2F8A7">
            <wp:extent cx="2933700" cy="1987290"/>
            <wp:effectExtent l="0" t="0" r="0" b="0"/>
            <wp:docPr id="9317" name="Grafik 9317" title="Sporenkeimrate bei 19 Gr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33988" cy="1987485"/>
                    </a:xfrm>
                    <a:prstGeom prst="rect">
                      <a:avLst/>
                    </a:prstGeom>
                    <a:noFill/>
                    <a:ln>
                      <a:noFill/>
                    </a:ln>
                  </pic:spPr>
                </pic:pic>
              </a:graphicData>
            </a:graphic>
          </wp:inline>
        </w:drawing>
      </w:r>
    </w:p>
    <w:p w:rsidR="00176A8E" w:rsidRPr="00B70C83" w:rsidRDefault="00176A8E" w:rsidP="00176A8E">
      <w:pPr>
        <w:pStyle w:val="Beschriftung"/>
        <w:rPr>
          <w:color w:val="auto"/>
          <w:lang w:eastAsia="de-DE"/>
        </w:rPr>
      </w:pPr>
      <w:bookmarkStart w:id="238" w:name="_Toc7715434"/>
      <w:r w:rsidRPr="00B70C83">
        <w:rPr>
          <w:color w:val="auto"/>
        </w:rPr>
        <w:t xml:space="preserve">Abbildung </w:t>
      </w:r>
      <w:r w:rsidRPr="00B70C83">
        <w:rPr>
          <w:noProof/>
          <w:color w:val="auto"/>
        </w:rPr>
        <w:fldChar w:fldCharType="begin"/>
      </w:r>
      <w:r w:rsidRPr="00B70C83">
        <w:rPr>
          <w:noProof/>
          <w:color w:val="auto"/>
        </w:rPr>
        <w:instrText xml:space="preserve"> SEQ Abbildung \* ARABIC </w:instrText>
      </w:r>
      <w:r w:rsidRPr="00B70C83">
        <w:rPr>
          <w:noProof/>
          <w:color w:val="auto"/>
        </w:rPr>
        <w:fldChar w:fldCharType="separate"/>
      </w:r>
      <w:r>
        <w:rPr>
          <w:noProof/>
          <w:color w:val="auto"/>
        </w:rPr>
        <w:t>45</w:t>
      </w:r>
      <w:r w:rsidRPr="00B70C83">
        <w:rPr>
          <w:noProof/>
          <w:color w:val="auto"/>
        </w:rPr>
        <w:fldChar w:fldCharType="end"/>
      </w:r>
      <w:r w:rsidRPr="00B70C83">
        <w:rPr>
          <w:color w:val="auto"/>
        </w:rPr>
        <w:t xml:space="preserve">: </w:t>
      </w:r>
      <w:r w:rsidRPr="00176A8E">
        <w:rPr>
          <w:color w:val="auto"/>
          <w:lang w:eastAsia="de-DE"/>
        </w:rPr>
        <w:t>Sporenkeimungsrate [%] bei unterschiedlichen Temperaturen</w:t>
      </w:r>
      <w:bookmarkEnd w:id="238"/>
    </w:p>
    <w:p w:rsidR="00176A8E" w:rsidRDefault="00176A8E" w:rsidP="004E619E">
      <w:pPr>
        <w:pStyle w:val="Flietext"/>
        <w:jc w:val="both"/>
      </w:pPr>
      <w:r w:rsidRPr="00176A8E">
        <w:t xml:space="preserve">Die Versuche zur Bestimmung der Temperaturcharakteristik des </w:t>
      </w:r>
      <w:r w:rsidRPr="00DB1640">
        <w:rPr>
          <w:i/>
        </w:rPr>
        <w:t>Lecanicillium lecanii</w:t>
      </w:r>
      <w:r w:rsidRPr="00176A8E">
        <w:t xml:space="preserve"> Eigenisolates haben </w:t>
      </w:r>
      <w:r>
        <w:t xml:space="preserve">gezeigt, dass </w:t>
      </w:r>
      <w:r w:rsidRPr="00176A8E">
        <w:t>die Sporulierung und Keimung bei hohen Temperaturen sehr schnell ein</w:t>
      </w:r>
      <w:r>
        <w:t>setzt. A</w:t>
      </w:r>
      <w:r w:rsidRPr="00176A8E">
        <w:t xml:space="preserve">uch bei tiefen Temperaturen ist der Pilz sehr gut in der Lage Konidien und Keimschläuche zu bilden, was die Infektion von in Boden befindlichen, unbeweglichen </w:t>
      </w:r>
      <w:r w:rsidRPr="00DB1640">
        <w:rPr>
          <w:i/>
        </w:rPr>
        <w:t>Diabrotica</w:t>
      </w:r>
      <w:r w:rsidRPr="00176A8E">
        <w:t>-Eiern erleichtert.</w:t>
      </w:r>
    </w:p>
    <w:p w:rsidR="00176A8E" w:rsidRDefault="00176A8E" w:rsidP="004E619E">
      <w:pPr>
        <w:pStyle w:val="Flietext"/>
        <w:jc w:val="both"/>
      </w:pPr>
    </w:p>
    <w:p w:rsidR="000B3E0D" w:rsidRDefault="00176A8E" w:rsidP="000B3E0D">
      <w:pPr>
        <w:pStyle w:val="1Unterkapitel"/>
      </w:pPr>
      <w:bookmarkStart w:id="239" w:name="_Toc7715605"/>
      <w:r>
        <w:t>freilandversuche mit lecanicillium lecanii</w:t>
      </w:r>
      <w:bookmarkEnd w:id="239"/>
    </w:p>
    <w:p w:rsidR="000B3E0D" w:rsidRDefault="000B3E0D" w:rsidP="004E619E">
      <w:pPr>
        <w:pStyle w:val="Flietext"/>
        <w:jc w:val="both"/>
      </w:pPr>
      <w:r>
        <w:t xml:space="preserve">Nachdem die Laborversuche des ersten Projektjahres gezeigt hatten, dass Pilzwachstum und Sporulation von </w:t>
      </w:r>
      <w:r w:rsidRPr="00176A8E">
        <w:rPr>
          <w:i/>
        </w:rPr>
        <w:t>Lecanicillium lecanii</w:t>
      </w:r>
      <w:r>
        <w:t xml:space="preserve"> auch bei niedrigen positiven Temperaturen ab -2° möglich ist, war im nächsten Schritt nachzuweisen, ob der Pilz auch im Freilandversuch eine Wirkung gegen die Eier von </w:t>
      </w:r>
      <w:r w:rsidRPr="00176A8E">
        <w:rPr>
          <w:i/>
        </w:rPr>
        <w:t>Diabrotica virgifera</w:t>
      </w:r>
      <w:r>
        <w:t xml:space="preserve"> entfalten könnte. Im </w:t>
      </w:r>
      <w:r w:rsidR="008778FE">
        <w:t>vorangegangenen Jahr</w:t>
      </w:r>
      <w:r>
        <w:t xml:space="preserve"> durchgeführte Versuche, Käfer in hoher Dichte im Freiland in Käfigen auszusetzen, um auf diese Weise hohe Eidichten im Boden hervorzurufen, waren nicht erfolgreich. Da eine hohe Dichte an </w:t>
      </w:r>
      <w:r w:rsidRPr="00176A8E">
        <w:rPr>
          <w:i/>
        </w:rPr>
        <w:t>Diabrotica-</w:t>
      </w:r>
      <w:r>
        <w:t xml:space="preserve">Eiern eine wichtige Voraussetzung für Wirksamkeitsversuche darstellt, wurde entschieden, diese Versuche nach Möglichkeit in der südlichen Steiermark durchzuführen, wo sehr hohe </w:t>
      </w:r>
      <w:r w:rsidRPr="00176A8E">
        <w:rPr>
          <w:i/>
        </w:rPr>
        <w:t>Diabrotica</w:t>
      </w:r>
      <w:r>
        <w:t>-Dichten anzutreffen sind.</w:t>
      </w:r>
      <w:r w:rsidRPr="00813261">
        <w:t xml:space="preserve"> </w:t>
      </w:r>
      <w:r>
        <w:t xml:space="preserve">Für Versuche durfte in jedem Fall nicht mit künstlicher Infektion von </w:t>
      </w:r>
      <w:r w:rsidRPr="00176A8E">
        <w:rPr>
          <w:i/>
        </w:rPr>
        <w:t>Diabrotica</w:t>
      </w:r>
      <w:r>
        <w:t xml:space="preserve">-Eiern an Maispflanzen gearbeitet werden, da diese aus der Zucht stammenden Eier immer mit </w:t>
      </w:r>
      <w:r w:rsidRPr="00176A8E">
        <w:rPr>
          <w:i/>
        </w:rPr>
        <w:t>Lecanicillium lecanii</w:t>
      </w:r>
      <w:r>
        <w:t xml:space="preserve"> befallen sein könnten. Als wichtigstes Kriterium einer ausreichenden Wirksamkeit sollte der Einfluss auf den Käferschlupf ermittelt werden. Eine grundsätzliche Voraussetzung für Wirksamkeit des insektenpathogenen Pilzes ist darin zu sehen, dass dieser überhaupt in räumlicher Nähe zu den </w:t>
      </w:r>
      <w:r w:rsidRPr="00176A8E">
        <w:rPr>
          <w:i/>
        </w:rPr>
        <w:t>Diabrotica</w:t>
      </w:r>
      <w:r>
        <w:t xml:space="preserve"> Eiern zu liegen kommt. </w:t>
      </w:r>
      <w:r w:rsidRPr="00176A8E">
        <w:rPr>
          <w:i/>
        </w:rPr>
        <w:t>Diabrotica</w:t>
      </w:r>
      <w:r>
        <w:t xml:space="preserve">-Eier werden an der Erdoberfläche und in Bodenspalten bis etwa in 10 cm Tiefe abgelegt und gelangen im Zuge des herbstlichen Pflügens in tiefere Bodenschichten bis zu etwa 30 cm. Um die Infektionseinheiten von </w:t>
      </w:r>
      <w:r w:rsidRPr="00176A8E">
        <w:rPr>
          <w:i/>
        </w:rPr>
        <w:t>Lecanicillium lecanii</w:t>
      </w:r>
      <w:r>
        <w:t xml:space="preserve"> an ihren Wirkungsort zu bringen, bietet es sich daher an, dazu die kurze Zeitspanne im Herbst zwischen dem Dreschen des Maises und dem Pflügen zu nutzen. Da nicht von vorne herein klar war, welches das optimale Infektionsmittel für Lecanicillium lecanii darstellen würde, wurde sowohl die weit verbreitete Pilzgerste, als auch Katzenstreu infolge deren poröser</w:t>
      </w:r>
      <w:r w:rsidR="008778FE">
        <w:t xml:space="preserve"> Struktur in Betracht gezogen. </w:t>
      </w:r>
    </w:p>
    <w:p w:rsidR="001848E3" w:rsidRDefault="001848E3" w:rsidP="004E619E">
      <w:pPr>
        <w:pStyle w:val="Flietext"/>
        <w:jc w:val="both"/>
      </w:pPr>
      <w:r>
        <w:t>Im „Starkbefallsgebiet“ des Maiswurzelbohrers in der südlichen Steiermark wurden</w:t>
      </w:r>
      <w:r w:rsidR="004E619E">
        <w:t xml:space="preserve"> im Jahr 2017 drei</w:t>
      </w:r>
      <w:r>
        <w:t xml:space="preserve"> umfangreiche Parzellenversuche zur Überprüfung der Wirksamkeit des insektenpathogenen Pilzes </w:t>
      </w:r>
      <w:r w:rsidRPr="004E619E">
        <w:rPr>
          <w:i/>
        </w:rPr>
        <w:t>Lecanicillium lecanii</w:t>
      </w:r>
      <w:r>
        <w:t xml:space="preserve"> gegenüber dem Maiswurzelbohrer in jeweils 12 Wiederholungen angelegt. Dazu war im Herbst des Vorjahres kurz vor der Herbstackerung eine mit diesem Pilz infizierte Pilzgerste bzw. Katzenstreu parzellenweise ausgebracht worden. Ausgewertet wurde der Käferschlupf in Schlupftrichtern (Eklektoren) im Folgejahr sowie die Anwesenheit des ausgebrachten Pilzes in entsprechend gezogenen Bodenproben. Die Auswertung des Käferschlupfes zeigte je nach Standort unterschiedliche Käferzahlen je Käfig auf hohem Niveau: während es in St. Margarethen durchschnittlich 67,4, in Seibersdorf 96,5 waren, konnten in Donnersdorf sogar 221,3 Käfer je Käfig gezählt werden. In keiner der Bodenproben konnte der ausgebrachte Pilz </w:t>
      </w:r>
      <w:r w:rsidRPr="00813261">
        <w:rPr>
          <w:i/>
        </w:rPr>
        <w:t>Lecanicillium lecanii</w:t>
      </w:r>
      <w:r>
        <w:t xml:space="preserve"> nachgewiesen werden. Dieser war folglich nicht in der Lage gewesen, sich unter den Bedingungen der Ausbringung im Herbst im Boden zu etablieren. Entsprechend war auch keine Wirkung auf den Käferschlupf festzustellen gewesen. Mögliche Ursachen der fehlenden Etablierung werden erörtert.</w:t>
      </w:r>
    </w:p>
    <w:p w:rsidR="001848E3" w:rsidRDefault="00176A8E" w:rsidP="00176A8E">
      <w:pPr>
        <w:pStyle w:val="11Unterkapitel"/>
      </w:pPr>
      <w:bookmarkStart w:id="240" w:name="_Toc7715606"/>
      <w:r>
        <w:t>versuche an 3 standorten in der steiermark</w:t>
      </w:r>
      <w:bookmarkEnd w:id="240"/>
    </w:p>
    <w:p w:rsidR="001848E3" w:rsidRDefault="001848E3" w:rsidP="00FB2C0E">
      <w:pPr>
        <w:pStyle w:val="Flietext"/>
        <w:jc w:val="both"/>
      </w:pPr>
      <w:r>
        <w:t xml:space="preserve">Die hier beschriebenen Freilandversuche wurden an 3 Standorten in der Steiermark als Parzellenversuche mit randomisierter Verteilung der Einzelparzellen angelegt. Die Versuchsvarianten waren Bodenbehandlungen mit </w:t>
      </w:r>
      <w:r w:rsidRPr="00176A8E">
        <w:rPr>
          <w:i/>
        </w:rPr>
        <w:t>Lecanicillium</w:t>
      </w:r>
      <w:r>
        <w:t xml:space="preserve">-Pilzgerste oder mit </w:t>
      </w:r>
      <w:r w:rsidRPr="00176A8E">
        <w:rPr>
          <w:i/>
        </w:rPr>
        <w:t>Lecanicillium</w:t>
      </w:r>
      <w:r>
        <w:t xml:space="preserve"> infizierter Katzenstreu sowie eine unbehandelte Kontrolle. Im Spätherbst 2016 wurden entsprechende Parzellen wenige Tage vor der Herbstackerung mit Pilzgerste bzw. mit infizierter Katzenstreu behandelt. Vor dem Käferschlupf 2017 wurde in jeder Parzelle 1 Schlupftrichter eingerichtet. Diese Eklektoren wurden einmal wöchentlich - solange die Käfer schlüpften entleert. Zur Zeit des Larvenschlupfes wurden aus jeder Versuchsparzelle Bodenproben entnommen und im Labor nach der Anwesenheit von </w:t>
      </w:r>
      <w:r w:rsidRPr="00813261">
        <w:rPr>
          <w:i/>
        </w:rPr>
        <w:t>Lecanicillium lecanii</w:t>
      </w:r>
      <w:r>
        <w:t xml:space="preserve"> untersucht. </w:t>
      </w:r>
    </w:p>
    <w:p w:rsidR="001848E3" w:rsidRDefault="001848E3" w:rsidP="00FB2C0E">
      <w:pPr>
        <w:pStyle w:val="Flietext"/>
        <w:jc w:val="both"/>
      </w:pPr>
      <w:r>
        <w:t>Die Versuchsflächen der ersten beiden Standorte gehören zu einem mehrjährigen vielgliedrigen Parzellenversuch der steirischen Landwirtschaftskammer (Dip. Ing. Fragner), der seit 2015 l</w:t>
      </w:r>
      <w:r w:rsidR="00813261">
        <w:t>ief</w:t>
      </w:r>
      <w:r>
        <w:t xml:space="preserve"> und welcher in St. Margarethen im Raabtal und in Seibersdorf völlig ident angelegt war. Der 3. Versuch wurde auf der Ertragsfläche eines „privaten“ Grundbesitze</w:t>
      </w:r>
      <w:r w:rsidR="00813261">
        <w:t>rs in Donnersdorf durchgeführt.</w:t>
      </w:r>
    </w:p>
    <w:p w:rsidR="001848E3" w:rsidRPr="000B3E0D" w:rsidRDefault="000B3E0D" w:rsidP="000B3E0D">
      <w:pPr>
        <w:pStyle w:val="12Unterkapitel"/>
      </w:pPr>
      <w:bookmarkStart w:id="241" w:name="_Toc7715607"/>
      <w:r>
        <w:t xml:space="preserve">versuchsfläche </w:t>
      </w:r>
      <w:r w:rsidR="001848E3" w:rsidRPr="000B3E0D">
        <w:t>St. Margarethen im Raabtal</w:t>
      </w:r>
      <w:bookmarkEnd w:id="241"/>
    </w:p>
    <w:p w:rsidR="001848E3" w:rsidRDefault="000B3E0D" w:rsidP="00FB2C0E">
      <w:pPr>
        <w:pStyle w:val="Flietext"/>
        <w:jc w:val="both"/>
      </w:pPr>
      <w:r>
        <w:t>D</w:t>
      </w:r>
      <w:r w:rsidR="001848E3">
        <w:t>ie GPS-Koordinaten der Versuchsstelle laut</w:t>
      </w:r>
      <w:r>
        <w:t>et</w:t>
      </w:r>
      <w:r w:rsidR="001848E3">
        <w:t>en 15,</w:t>
      </w:r>
      <w:r w:rsidR="001848E3" w:rsidRPr="001D3CB3">
        <w:t>743000 / 47,062833</w:t>
      </w:r>
      <w:r w:rsidRPr="001D3CB3">
        <w:t xml:space="preserve"> (Abbildung 46)</w:t>
      </w:r>
      <w:r w:rsidR="001848E3" w:rsidRPr="001D3CB3">
        <w:t>. Die gesamte Versuchsfläche war im Herbst 2016 gepflügt und im Frühjahr mit einer Saatbettkombination geeggt worden. Zur Düngung wurde vor dem Anbau Gülle ausgebracht. Nach dem Auflaufen erfolgte eine Unkrautbehandlung mit Capreno® S-Pack. Die Parzellen sind randomisiert angeordnet: in den grün getönten Parzellen wurde der Mais (Sorte Andreo) bereits am 13. April angebaut, in den blau getönten Parzellen jedoch erst am 30. April 2017. Die Parzellen der Wiederholungen WH7-WH12 wurden Mitte Juli mit einem Pflanzenschutzmittel (Biscaya 240 OD) behandelt. Jede Parzelle ist 6 Reihen (4,2 m) breit und 8,6 m lang (36m²). Jede dieser Parzellen wurde nochmals quergeteilt, da die Wirkung des Pilzes sowohl als Pilzgerste als auch als Katzenstreu überprüft werden sollte: die Fläche einer solche „Halbparzelle“ betrug demnach 18 m²</w:t>
      </w:r>
      <w:r w:rsidRPr="001D3CB3">
        <w:t xml:space="preserve"> (Abbildung 47).</w:t>
      </w:r>
      <w:r w:rsidR="001848E3">
        <w:t xml:space="preserve"> </w:t>
      </w:r>
    </w:p>
    <w:p w:rsidR="00813261" w:rsidRDefault="001848E3" w:rsidP="001848E3">
      <w:pPr>
        <w:pStyle w:val="Flietext"/>
      </w:pPr>
      <w:r>
        <w:rPr>
          <w:noProof/>
          <w:lang w:eastAsia="de-AT"/>
        </w:rPr>
        <w:drawing>
          <wp:inline distT="0" distB="0" distL="0" distR="0">
            <wp:extent cx="4157345" cy="2844165"/>
            <wp:effectExtent l="0" t="0" r="0" b="0"/>
            <wp:docPr id="9304" name="Grafik 9304" title="Versuchsstandort St. Margaret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57345" cy="2844165"/>
                    </a:xfrm>
                    <a:prstGeom prst="rect">
                      <a:avLst/>
                    </a:prstGeom>
                    <a:noFill/>
                    <a:ln>
                      <a:noFill/>
                    </a:ln>
                  </pic:spPr>
                </pic:pic>
              </a:graphicData>
            </a:graphic>
          </wp:inline>
        </w:drawing>
      </w:r>
    </w:p>
    <w:p w:rsidR="000B3E0D" w:rsidRPr="00B70C83" w:rsidRDefault="000B3E0D" w:rsidP="000B3E0D">
      <w:pPr>
        <w:pStyle w:val="Beschriftung"/>
        <w:rPr>
          <w:color w:val="auto"/>
          <w:lang w:eastAsia="de-DE"/>
        </w:rPr>
      </w:pPr>
      <w:bookmarkStart w:id="242" w:name="_Toc7715435"/>
      <w:r w:rsidRPr="00B70C83">
        <w:rPr>
          <w:color w:val="auto"/>
        </w:rPr>
        <w:t xml:space="preserve">Abbildung </w:t>
      </w:r>
      <w:r w:rsidRPr="00B70C83">
        <w:rPr>
          <w:noProof/>
          <w:color w:val="auto"/>
        </w:rPr>
        <w:fldChar w:fldCharType="begin"/>
      </w:r>
      <w:r w:rsidRPr="00B70C83">
        <w:rPr>
          <w:noProof/>
          <w:color w:val="auto"/>
        </w:rPr>
        <w:instrText xml:space="preserve"> SEQ Abbildung \* ARABIC </w:instrText>
      </w:r>
      <w:r w:rsidRPr="00B70C83">
        <w:rPr>
          <w:noProof/>
          <w:color w:val="auto"/>
        </w:rPr>
        <w:fldChar w:fldCharType="separate"/>
      </w:r>
      <w:r>
        <w:rPr>
          <w:noProof/>
          <w:color w:val="auto"/>
        </w:rPr>
        <w:t>46</w:t>
      </w:r>
      <w:r w:rsidRPr="00B70C83">
        <w:rPr>
          <w:noProof/>
          <w:color w:val="auto"/>
        </w:rPr>
        <w:fldChar w:fldCharType="end"/>
      </w:r>
      <w:r w:rsidRPr="00B70C83">
        <w:rPr>
          <w:color w:val="auto"/>
        </w:rPr>
        <w:t xml:space="preserve">: </w:t>
      </w:r>
      <w:r>
        <w:rPr>
          <w:color w:val="auto"/>
          <w:lang w:eastAsia="de-DE"/>
        </w:rPr>
        <w:t>Luftbild der Versuchsfläche in St. Margarethen</w:t>
      </w:r>
      <w:bookmarkEnd w:id="242"/>
    </w:p>
    <w:p w:rsidR="000B3E0D" w:rsidRDefault="000B3E0D" w:rsidP="001848E3">
      <w:pPr>
        <w:pStyle w:val="Flietext"/>
      </w:pPr>
      <w:r>
        <w:rPr>
          <w:noProof/>
          <w:lang w:eastAsia="de-AT"/>
        </w:rPr>
        <w:drawing>
          <wp:anchor distT="0" distB="0" distL="114300" distR="114300" simplePos="0" relativeHeight="251849216" behindDoc="0" locked="0" layoutInCell="1" allowOverlap="1" wp14:anchorId="76144551" wp14:editId="1502E21F">
            <wp:simplePos x="0" y="0"/>
            <wp:positionH relativeFrom="column">
              <wp:posOffset>-2540</wp:posOffset>
            </wp:positionH>
            <wp:positionV relativeFrom="paragraph">
              <wp:posOffset>167005</wp:posOffset>
            </wp:positionV>
            <wp:extent cx="2686050" cy="5572760"/>
            <wp:effectExtent l="0" t="0" r="0" b="8890"/>
            <wp:wrapSquare wrapText="bothSides"/>
            <wp:docPr id="9306" name="Grafik 9306" title="Versuchsplan Standort St. Margaret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86050" cy="5572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3E0D" w:rsidRDefault="000B3E0D" w:rsidP="000B3E0D">
      <w:pPr>
        <w:pStyle w:val="Beschriftung"/>
        <w:rPr>
          <w:color w:val="auto"/>
          <w:lang w:eastAsia="de-DE"/>
        </w:rPr>
      </w:pPr>
      <w:bookmarkStart w:id="243" w:name="_Toc7715436"/>
      <w:r w:rsidRPr="00B70C83">
        <w:rPr>
          <w:color w:val="auto"/>
        </w:rPr>
        <w:t xml:space="preserve">Abbildung </w:t>
      </w:r>
      <w:r w:rsidRPr="00B70C83">
        <w:rPr>
          <w:noProof/>
          <w:color w:val="auto"/>
        </w:rPr>
        <w:fldChar w:fldCharType="begin"/>
      </w:r>
      <w:r w:rsidRPr="00B70C83">
        <w:rPr>
          <w:noProof/>
          <w:color w:val="auto"/>
        </w:rPr>
        <w:instrText xml:space="preserve"> SEQ Abbildung \* ARABIC </w:instrText>
      </w:r>
      <w:r w:rsidRPr="00B70C83">
        <w:rPr>
          <w:noProof/>
          <w:color w:val="auto"/>
        </w:rPr>
        <w:fldChar w:fldCharType="separate"/>
      </w:r>
      <w:r>
        <w:rPr>
          <w:noProof/>
          <w:color w:val="auto"/>
        </w:rPr>
        <w:t>47</w:t>
      </w:r>
      <w:r w:rsidRPr="00B70C83">
        <w:rPr>
          <w:noProof/>
          <w:color w:val="auto"/>
        </w:rPr>
        <w:fldChar w:fldCharType="end"/>
      </w:r>
      <w:r w:rsidRPr="00B70C83">
        <w:rPr>
          <w:color w:val="auto"/>
        </w:rPr>
        <w:t xml:space="preserve">: </w:t>
      </w:r>
      <w:r>
        <w:rPr>
          <w:color w:val="auto"/>
          <w:lang w:eastAsia="de-DE"/>
        </w:rPr>
        <w:t xml:space="preserve">Versuchsplan Standort St. Margarethen. </w:t>
      </w:r>
      <w:r w:rsidRPr="000B3E0D">
        <w:rPr>
          <w:color w:val="auto"/>
          <w:lang w:eastAsia="de-DE"/>
        </w:rPr>
        <w:t>UK=unbehandelt, PG=Lecanicillium in Pilzgerste, KS=Lecanicillium in Katzenstreu</w:t>
      </w:r>
      <w:bookmarkEnd w:id="243"/>
    </w:p>
    <w:p w:rsidR="005746AF" w:rsidRDefault="005746AF">
      <w:pPr>
        <w:rPr>
          <w:color w:val="000000"/>
          <w:lang w:eastAsia="de-DE"/>
        </w:rPr>
      </w:pPr>
      <w:r>
        <w:rPr>
          <w:lang w:eastAsia="de-DE"/>
        </w:rPr>
        <w:br w:type="page"/>
      </w:r>
    </w:p>
    <w:p w:rsidR="001848E3" w:rsidRDefault="001848E3" w:rsidP="000B3E0D">
      <w:pPr>
        <w:pStyle w:val="13Unterkapitel"/>
      </w:pPr>
      <w:bookmarkStart w:id="244" w:name="_Toc7715608"/>
      <w:r>
        <w:t>Seibersdorf bei St. Veit</w:t>
      </w:r>
      <w:bookmarkEnd w:id="244"/>
    </w:p>
    <w:p w:rsidR="001848E3" w:rsidRDefault="001848E3" w:rsidP="001848E3">
      <w:pPr>
        <w:pStyle w:val="Flietext"/>
      </w:pPr>
      <w:r>
        <w:t xml:space="preserve">Die GPS-Koordinaten der </w:t>
      </w:r>
      <w:r w:rsidRPr="001D3CB3">
        <w:t>Versuchsfläche laut</w:t>
      </w:r>
      <w:r w:rsidR="009D0BBF" w:rsidRPr="001D3CB3">
        <w:t>et</w:t>
      </w:r>
      <w:r w:rsidRPr="001D3CB3">
        <w:t xml:space="preserve">en auf 15,660333 / 46,730833 </w:t>
      </w:r>
      <w:r w:rsidR="009D0BBF" w:rsidRPr="001D3CB3">
        <w:t>–</w:t>
      </w:r>
      <w:r w:rsidRPr="001D3CB3">
        <w:t xml:space="preserve"> </w:t>
      </w:r>
      <w:r w:rsidR="009D0BBF" w:rsidRPr="001D3CB3">
        <w:t>Der</w:t>
      </w:r>
      <w:r w:rsidRPr="001D3CB3">
        <w:t xml:space="preserve"> Versuchsplan </w:t>
      </w:r>
      <w:r w:rsidR="009D0BBF" w:rsidRPr="001D3CB3">
        <w:t>war</w:t>
      </w:r>
      <w:r w:rsidRPr="001D3CB3">
        <w:t xml:space="preserve"> identisch mit dem in St. Margarethen</w:t>
      </w:r>
      <w:r w:rsidR="009D0BBF" w:rsidRPr="001D3CB3">
        <w:t xml:space="preserve"> (siehe Abbildung 47)</w:t>
      </w:r>
      <w:r w:rsidRPr="001D3CB3">
        <w:t>.</w:t>
      </w:r>
    </w:p>
    <w:p w:rsidR="009D0BBF" w:rsidRDefault="00BA0E61" w:rsidP="001848E3">
      <w:pPr>
        <w:pStyle w:val="Flietext"/>
      </w:pPr>
      <w:r>
        <w:rPr>
          <w:noProof/>
          <w:lang w:eastAsia="de-AT"/>
        </w:rPr>
        <w:drawing>
          <wp:anchor distT="0" distB="0" distL="114300" distR="114300" simplePos="0" relativeHeight="252065280" behindDoc="0" locked="0" layoutInCell="1" allowOverlap="1">
            <wp:simplePos x="0" y="0"/>
            <wp:positionH relativeFrom="column">
              <wp:posOffset>107315</wp:posOffset>
            </wp:positionH>
            <wp:positionV relativeFrom="paragraph">
              <wp:posOffset>104140</wp:posOffset>
            </wp:positionV>
            <wp:extent cx="3795395" cy="2593340"/>
            <wp:effectExtent l="0" t="0" r="0" b="0"/>
            <wp:wrapSquare wrapText="bothSides"/>
            <wp:docPr id="9307" name="Grafik 9307" title="Versuchsstandort Seibersdo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795395" cy="2593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0BBF" w:rsidRDefault="00BA0E61" w:rsidP="009D0BBF">
      <w:pPr>
        <w:pStyle w:val="Beschriftung"/>
        <w:rPr>
          <w:color w:val="auto"/>
          <w:lang w:eastAsia="de-DE"/>
        </w:rPr>
      </w:pPr>
      <w:bookmarkStart w:id="245" w:name="_Toc7715437"/>
      <w:r>
        <w:rPr>
          <w:noProof/>
          <w:lang w:eastAsia="de-AT"/>
        </w:rPr>
        <w:drawing>
          <wp:anchor distT="0" distB="0" distL="114300" distR="114300" simplePos="0" relativeHeight="251798016" behindDoc="0" locked="0" layoutInCell="1" allowOverlap="1" wp14:anchorId="02C2D358" wp14:editId="07328F65">
            <wp:simplePos x="0" y="0"/>
            <wp:positionH relativeFrom="margin">
              <wp:posOffset>5746750</wp:posOffset>
            </wp:positionH>
            <wp:positionV relativeFrom="paragraph">
              <wp:posOffset>674370</wp:posOffset>
            </wp:positionV>
            <wp:extent cx="661670" cy="6711315"/>
            <wp:effectExtent l="0" t="0" r="5080" b="0"/>
            <wp:wrapSquare wrapText="bothSides"/>
            <wp:docPr id="9309" name="Grafik 9309" title="Versuchs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1670" cy="6711315"/>
                    </a:xfrm>
                    <a:prstGeom prst="rect">
                      <a:avLst/>
                    </a:prstGeom>
                    <a:noFill/>
                    <a:ln>
                      <a:noFill/>
                    </a:ln>
                  </pic:spPr>
                </pic:pic>
              </a:graphicData>
            </a:graphic>
            <wp14:sizeRelH relativeFrom="page">
              <wp14:pctWidth>0</wp14:pctWidth>
            </wp14:sizeRelH>
            <wp14:sizeRelV relativeFrom="page">
              <wp14:pctHeight>0</wp14:pctHeight>
            </wp14:sizeRelV>
          </wp:anchor>
        </w:drawing>
      </w:r>
      <w:r w:rsidR="009D0BBF" w:rsidRPr="00B70C83">
        <w:rPr>
          <w:color w:val="auto"/>
        </w:rPr>
        <w:t xml:space="preserve">Abbildung </w:t>
      </w:r>
      <w:r w:rsidR="009D0BBF" w:rsidRPr="00B70C83">
        <w:rPr>
          <w:noProof/>
          <w:color w:val="auto"/>
        </w:rPr>
        <w:fldChar w:fldCharType="begin"/>
      </w:r>
      <w:r w:rsidR="009D0BBF" w:rsidRPr="00B70C83">
        <w:rPr>
          <w:noProof/>
          <w:color w:val="auto"/>
        </w:rPr>
        <w:instrText xml:space="preserve"> SEQ Abbildung \* ARABIC </w:instrText>
      </w:r>
      <w:r w:rsidR="009D0BBF" w:rsidRPr="00B70C83">
        <w:rPr>
          <w:noProof/>
          <w:color w:val="auto"/>
        </w:rPr>
        <w:fldChar w:fldCharType="separate"/>
      </w:r>
      <w:r w:rsidR="009D0BBF">
        <w:rPr>
          <w:noProof/>
          <w:color w:val="auto"/>
        </w:rPr>
        <w:t>48</w:t>
      </w:r>
      <w:r w:rsidR="009D0BBF" w:rsidRPr="00B70C83">
        <w:rPr>
          <w:noProof/>
          <w:color w:val="auto"/>
        </w:rPr>
        <w:fldChar w:fldCharType="end"/>
      </w:r>
      <w:r w:rsidR="009D0BBF" w:rsidRPr="00B70C83">
        <w:rPr>
          <w:color w:val="auto"/>
        </w:rPr>
        <w:t xml:space="preserve">: </w:t>
      </w:r>
      <w:r w:rsidR="009D0BBF">
        <w:rPr>
          <w:color w:val="auto"/>
          <w:lang w:eastAsia="de-DE"/>
        </w:rPr>
        <w:t>Luftbild der Versuchsfläche in Seibersdorf bei St.Veit</w:t>
      </w:r>
      <w:bookmarkEnd w:id="245"/>
    </w:p>
    <w:p w:rsidR="009D0BBF" w:rsidRPr="009D0BBF" w:rsidRDefault="009D0BBF" w:rsidP="009D0BBF">
      <w:pPr>
        <w:pStyle w:val="Flietext"/>
        <w:rPr>
          <w:lang w:eastAsia="de-DE"/>
        </w:rPr>
      </w:pPr>
    </w:p>
    <w:p w:rsidR="001848E3" w:rsidRDefault="001848E3" w:rsidP="000B3E0D">
      <w:pPr>
        <w:pStyle w:val="13Unterkapitel"/>
      </w:pPr>
      <w:bookmarkStart w:id="246" w:name="_Toc7715609"/>
      <w:r>
        <w:t>Donnersdorf</w:t>
      </w:r>
      <w:bookmarkEnd w:id="246"/>
    </w:p>
    <w:p w:rsidR="001848E3" w:rsidRDefault="001848E3" w:rsidP="00FB2C0E">
      <w:pPr>
        <w:pStyle w:val="Flietext"/>
        <w:jc w:val="both"/>
      </w:pPr>
      <w:r>
        <w:t>Die Versuchsfläche in Donnersdorf (8484 Halbenrain) hat</w:t>
      </w:r>
      <w:r w:rsidR="009D0BBF">
        <w:t>te</w:t>
      </w:r>
      <w:r>
        <w:t xml:space="preserve"> die GPS-Koordinaten 15,888750 / 46,734111 und </w:t>
      </w:r>
      <w:r w:rsidR="009D0BBF">
        <w:t>war</w:t>
      </w:r>
      <w:r>
        <w:t xml:space="preserve"> 1,17 </w:t>
      </w:r>
      <w:r w:rsidRPr="001D3CB3">
        <w:t>ha groß</w:t>
      </w:r>
      <w:r w:rsidR="00A5382D" w:rsidRPr="001D3CB3">
        <w:t xml:space="preserve"> (Abbildung 49)</w:t>
      </w:r>
      <w:r w:rsidRPr="001D3CB3">
        <w:t>. Das Feld</w:t>
      </w:r>
      <w:r>
        <w:t xml:space="preserve"> war im Herbst 2016 gepflügt und im Frühjahr mit einer Saatbettkombination geeggt worden. Zur Düngung war im Frühjahr Gülle ausgebracht worden. Der Anbau des Maises erfolgte am 10. April 2017 mit der Sorte Sandra, nach dem Auflaufen des Maises wurde mit Capreno® S-Pack gegen Un</w:t>
      </w:r>
      <w:r w:rsidR="006571DA">
        <w:t>kräuter behandelt. Die Versuchs</w:t>
      </w:r>
      <w:r>
        <w:t xml:space="preserve">parzellen hatten dieselbe Größe wie an den anderen Standorten (4,2 mal 4,3 m, 18 m²). Parzellen </w:t>
      </w:r>
      <w:r w:rsidRPr="001D3CB3">
        <w:t>unterschiedlicher Versuchsvarianten wechselten einander periodisch ab und lagen in einer Linie (Abbildung</w:t>
      </w:r>
      <w:r w:rsidR="00A5382D" w:rsidRPr="001D3CB3">
        <w:t xml:space="preserve"> 50</w:t>
      </w:r>
      <w:r w:rsidRPr="001D3CB3">
        <w:t>).</w:t>
      </w:r>
      <w:r>
        <w:t xml:space="preserve"> Es wurden 12 Wiederholungen angelegt.</w:t>
      </w:r>
    </w:p>
    <w:p w:rsidR="006571DA" w:rsidRDefault="006571DA" w:rsidP="00FB2C0E">
      <w:pPr>
        <w:pStyle w:val="Flietext"/>
        <w:jc w:val="both"/>
      </w:pPr>
    </w:p>
    <w:p w:rsidR="00A5382D" w:rsidRDefault="00BA0E61" w:rsidP="001848E3">
      <w:pPr>
        <w:pStyle w:val="Flietext"/>
      </w:pPr>
      <w:r>
        <w:rPr>
          <w:noProof/>
          <w:lang w:eastAsia="de-AT"/>
        </w:rPr>
        <w:drawing>
          <wp:inline distT="0" distB="0" distL="0" distR="0">
            <wp:extent cx="3928745" cy="2638425"/>
            <wp:effectExtent l="0" t="0" r="0" b="9525"/>
            <wp:docPr id="9308" name="Grafik 9308" descr="Punkt_BasemapOrtho_20170922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nkt_BasemapOrtho_20170922v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928745" cy="2638425"/>
                    </a:xfrm>
                    <a:prstGeom prst="rect">
                      <a:avLst/>
                    </a:prstGeom>
                    <a:noFill/>
                    <a:ln>
                      <a:noFill/>
                    </a:ln>
                  </pic:spPr>
                </pic:pic>
              </a:graphicData>
            </a:graphic>
          </wp:inline>
        </w:drawing>
      </w:r>
    </w:p>
    <w:p w:rsidR="006571DA" w:rsidRDefault="00A5382D" w:rsidP="006571DA">
      <w:pPr>
        <w:pStyle w:val="Beschriftung"/>
        <w:ind w:left="0"/>
        <w:rPr>
          <w:color w:val="auto"/>
          <w:lang w:eastAsia="de-DE"/>
        </w:rPr>
      </w:pPr>
      <w:bookmarkStart w:id="247" w:name="_Toc7715438"/>
      <w:r w:rsidRPr="00B70C83">
        <w:rPr>
          <w:color w:val="auto"/>
        </w:rPr>
        <w:t xml:space="preserve">Abbildung </w:t>
      </w:r>
      <w:r w:rsidRPr="00B70C83">
        <w:rPr>
          <w:noProof/>
          <w:color w:val="auto"/>
        </w:rPr>
        <w:fldChar w:fldCharType="begin"/>
      </w:r>
      <w:r w:rsidRPr="00B70C83">
        <w:rPr>
          <w:noProof/>
          <w:color w:val="auto"/>
        </w:rPr>
        <w:instrText xml:space="preserve"> SEQ Abbildung \* ARABIC </w:instrText>
      </w:r>
      <w:r w:rsidRPr="00B70C83">
        <w:rPr>
          <w:noProof/>
          <w:color w:val="auto"/>
        </w:rPr>
        <w:fldChar w:fldCharType="separate"/>
      </w:r>
      <w:r>
        <w:rPr>
          <w:noProof/>
          <w:color w:val="auto"/>
        </w:rPr>
        <w:t>49</w:t>
      </w:r>
      <w:r w:rsidRPr="00B70C83">
        <w:rPr>
          <w:noProof/>
          <w:color w:val="auto"/>
        </w:rPr>
        <w:fldChar w:fldCharType="end"/>
      </w:r>
      <w:r w:rsidR="006571DA">
        <w:rPr>
          <w:noProof/>
          <w:color w:val="auto"/>
        </w:rPr>
        <w:t xml:space="preserve"> (oben) </w:t>
      </w:r>
      <w:r w:rsidR="006571DA">
        <w:rPr>
          <w:color w:val="auto"/>
          <w:lang w:eastAsia="de-DE"/>
        </w:rPr>
        <w:t xml:space="preserve">Luftbild der Versuchsfläche in Donnersdorf </w:t>
      </w:r>
      <w:r w:rsidR="006571DA">
        <w:rPr>
          <w:noProof/>
          <w:color w:val="auto"/>
        </w:rPr>
        <w:t>und</w:t>
      </w:r>
      <w:r w:rsidR="006571DA" w:rsidRPr="006571DA">
        <w:rPr>
          <w:color w:val="auto"/>
        </w:rPr>
        <w:t xml:space="preserve"> </w:t>
      </w:r>
      <w:r w:rsidR="006571DA" w:rsidRPr="00B70C83">
        <w:rPr>
          <w:color w:val="auto"/>
        </w:rPr>
        <w:t xml:space="preserve">Abbildung </w:t>
      </w:r>
      <w:r w:rsidR="006571DA" w:rsidRPr="00B70C83">
        <w:rPr>
          <w:noProof/>
          <w:color w:val="auto"/>
        </w:rPr>
        <w:fldChar w:fldCharType="begin"/>
      </w:r>
      <w:r w:rsidR="006571DA" w:rsidRPr="00B70C83">
        <w:rPr>
          <w:noProof/>
          <w:color w:val="auto"/>
        </w:rPr>
        <w:instrText xml:space="preserve"> SEQ Abbildung \* ARABIC </w:instrText>
      </w:r>
      <w:r w:rsidR="006571DA" w:rsidRPr="00B70C83">
        <w:rPr>
          <w:noProof/>
          <w:color w:val="auto"/>
        </w:rPr>
        <w:fldChar w:fldCharType="separate"/>
      </w:r>
      <w:r w:rsidR="006571DA">
        <w:rPr>
          <w:noProof/>
          <w:color w:val="auto"/>
        </w:rPr>
        <w:t>50</w:t>
      </w:r>
      <w:r w:rsidR="006571DA" w:rsidRPr="00B70C83">
        <w:rPr>
          <w:noProof/>
          <w:color w:val="auto"/>
        </w:rPr>
        <w:fldChar w:fldCharType="end"/>
      </w:r>
      <w:r w:rsidR="006571DA">
        <w:rPr>
          <w:noProof/>
          <w:color w:val="auto"/>
        </w:rPr>
        <w:t xml:space="preserve"> (rechts)</w:t>
      </w:r>
      <w:r w:rsidR="006571DA" w:rsidRPr="00B70C83">
        <w:rPr>
          <w:color w:val="auto"/>
        </w:rPr>
        <w:t xml:space="preserve">: </w:t>
      </w:r>
      <w:r w:rsidR="006571DA">
        <w:rPr>
          <w:color w:val="auto"/>
          <w:lang w:eastAsia="de-DE"/>
        </w:rPr>
        <w:t>Versuchsplan der Versuchsfläche in Donnersdorf (rechts)</w:t>
      </w:r>
      <w:bookmarkEnd w:id="247"/>
      <w:r w:rsidR="006571DA">
        <w:rPr>
          <w:color w:val="auto"/>
          <w:lang w:eastAsia="de-DE"/>
        </w:rPr>
        <w:t xml:space="preserve"> </w:t>
      </w:r>
    </w:p>
    <w:p w:rsidR="00A5382D" w:rsidRDefault="00A5382D" w:rsidP="001848E3">
      <w:pPr>
        <w:pStyle w:val="Flietext"/>
      </w:pPr>
    </w:p>
    <w:p w:rsidR="001848E3" w:rsidRDefault="001848E3" w:rsidP="001848E3">
      <w:pPr>
        <w:pStyle w:val="Flietext"/>
      </w:pPr>
      <w:r>
        <w:t>3.2.</w:t>
      </w:r>
      <w:r>
        <w:tab/>
        <w:t>Infektionsmaterial</w:t>
      </w:r>
    </w:p>
    <w:p w:rsidR="001848E3" w:rsidRDefault="001848E3" w:rsidP="00FB2C0E">
      <w:pPr>
        <w:pStyle w:val="Flietext"/>
        <w:jc w:val="both"/>
      </w:pPr>
      <w:r>
        <w:t xml:space="preserve">In den Versuchen wurde das AGES-Eigenisolat des entomopathogenen Pilzes </w:t>
      </w:r>
      <w:r w:rsidRPr="004F25BB">
        <w:rPr>
          <w:i/>
        </w:rPr>
        <w:t>Lecanicillium lecanii</w:t>
      </w:r>
      <w:r>
        <w:t xml:space="preserve"> verwendet. Die Kultivierung des Pilzes erfolgte auf Potato Dextrose Agar (PDA) bei +19°C in Dunkelheit. Für die Versuche wurden 1-2 Monate alte Platten verwendet.</w:t>
      </w:r>
    </w:p>
    <w:p w:rsidR="001848E3" w:rsidRDefault="001848E3" w:rsidP="001848E3">
      <w:pPr>
        <w:pStyle w:val="Flietext"/>
      </w:pPr>
      <w:r>
        <w:t>3.2.1.</w:t>
      </w:r>
      <w:r>
        <w:tab/>
        <w:t>Herstellung der Pilzgerste</w:t>
      </w:r>
    </w:p>
    <w:p w:rsidR="001848E3" w:rsidRDefault="001848E3" w:rsidP="00FB2C0E">
      <w:pPr>
        <w:pStyle w:val="Flietext"/>
        <w:jc w:val="both"/>
      </w:pPr>
      <w:r>
        <w:t xml:space="preserve">Ungebeizte Gerstenkörner wurden in Wasser und bei Zimmertemperatur über Nacht vorgequollen und am Folgetag zweimalig bei 122°C autoklaviert. Nach dem Trocknen und Auskühlen in der Sterilbank, erfolgte die Inokulation mit </w:t>
      </w:r>
      <w:r w:rsidRPr="004F25BB">
        <w:rPr>
          <w:i/>
        </w:rPr>
        <w:t>Lecanicillium lecanii</w:t>
      </w:r>
      <w:r>
        <w:t>. Anschließend wurde die Pilzgerste für etwa 1 Monat bei 25°C und Dunkelheit gelagert. Während der Lagerung wurden die 15 kg Pilzgerstesäcke mehrmals durchmischt, um eine gleichmäßige Verteilung der Pilzsporen zu gewährleisten. Anschließend wurden sie bis zur Ausbringung am Feld bei 4°C und Dunkelheit gelagert.</w:t>
      </w:r>
    </w:p>
    <w:p w:rsidR="001848E3" w:rsidRDefault="001848E3" w:rsidP="001848E3">
      <w:pPr>
        <w:pStyle w:val="Flietext"/>
      </w:pPr>
      <w:r>
        <w:t>3.2.2.</w:t>
      </w:r>
      <w:r>
        <w:tab/>
        <w:t>Herstellung des Katzenstreusubstrates</w:t>
      </w:r>
    </w:p>
    <w:p w:rsidR="001848E3" w:rsidRDefault="001848E3" w:rsidP="00FB2C0E">
      <w:pPr>
        <w:pStyle w:val="Flietext"/>
        <w:jc w:val="both"/>
      </w:pPr>
      <w:r>
        <w:t xml:space="preserve">Eine Mischung aus Catsan- und MulitFit-Katzenstreu wurde kurz vor der Ausbringung am Feld mit einer </w:t>
      </w:r>
      <w:r w:rsidRPr="004F25BB">
        <w:rPr>
          <w:i/>
        </w:rPr>
        <w:t>Lecanicillium lecanii</w:t>
      </w:r>
      <w:r>
        <w:t xml:space="preserve"> Myzelsuspension vermischt.</w:t>
      </w:r>
    </w:p>
    <w:p w:rsidR="001848E3" w:rsidRDefault="001848E3" w:rsidP="001848E3">
      <w:pPr>
        <w:pStyle w:val="Flietext"/>
      </w:pPr>
      <w:r>
        <w:t>3.2.3.</w:t>
      </w:r>
      <w:r>
        <w:tab/>
        <w:t>Qualitätstests der Pilzgerste/Katzenstreusubstrat</w:t>
      </w:r>
    </w:p>
    <w:p w:rsidR="001848E3" w:rsidRDefault="001848E3" w:rsidP="00FB2C0E">
      <w:pPr>
        <w:pStyle w:val="Flietext"/>
        <w:jc w:val="both"/>
      </w:pPr>
      <w:r>
        <w:t>Kurz nach der Ausbringung der Pilzgerste wurde deren Sporenkonzentration und -keimung überprüft. Während die Sporenkonzentration der Pilzgerste für die Standorte Seibersdorf und Donnersdorf 1,29x108 Sporen/g Pilzgerste betrug und nach 20h (19°C) 85% der Sporen gekeimt waren, lag die Sporenkonzentration für den Standort St. Margarethen, aufgrund der späteren Ausbringung, bei 2,17x108 Sporen/g Pilzgerste und die Keimung betrug 88% nach 20h (19°C). Sowohl bei der Pilzgerste als auch beim Katzenstreusubstrat konnte ein Myzelwachstum auf PDA-Platten bestätigt werden.</w:t>
      </w:r>
    </w:p>
    <w:p w:rsidR="001848E3" w:rsidRDefault="001848E3" w:rsidP="001848E3">
      <w:pPr>
        <w:pStyle w:val="Flietext"/>
      </w:pPr>
      <w:r>
        <w:t>3.3.</w:t>
      </w:r>
      <w:r>
        <w:tab/>
        <w:t>Ausbringung des insektenpathogenen Pilzes</w:t>
      </w:r>
    </w:p>
    <w:p w:rsidR="001848E3" w:rsidRDefault="001848E3" w:rsidP="00FB2C0E">
      <w:pPr>
        <w:pStyle w:val="Flietext"/>
        <w:jc w:val="both"/>
      </w:pPr>
      <w:r>
        <w:t>Das Infektionsmaterial wurde in Seibersdorf bei St. Veith am 19.10.2016, in Donnersdorf am 27.10.2016 und in St. Margarethen am 11.11.2016 in der Aufwandmenge von 45 g/m² für Pilzgerste und 45 g/m² für Katzenstreu ausgebracht. Alle Flächen wurden kurze Zeit später gepflügt, sodass die Pilzsporen der prallen Sonne nicht ausgesetzt waren.</w:t>
      </w:r>
    </w:p>
    <w:p w:rsidR="001848E3" w:rsidRDefault="001848E3" w:rsidP="001848E3">
      <w:pPr>
        <w:pStyle w:val="Flietext"/>
      </w:pPr>
      <w:r>
        <w:t>3.4.</w:t>
      </w:r>
      <w:r>
        <w:tab/>
        <w:t>Bodenproben</w:t>
      </w:r>
    </w:p>
    <w:p w:rsidR="001848E3" w:rsidRDefault="001848E3" w:rsidP="001848E3">
      <w:pPr>
        <w:pStyle w:val="Flietext"/>
      </w:pPr>
      <w:r>
        <w:t>3.4.1.</w:t>
      </w:r>
      <w:r>
        <w:tab/>
        <w:t>Probenziehung</w:t>
      </w:r>
    </w:p>
    <w:p w:rsidR="001848E3" w:rsidRDefault="001848E3" w:rsidP="00FB2C0E">
      <w:pPr>
        <w:pStyle w:val="Flietext"/>
        <w:jc w:val="both"/>
      </w:pPr>
      <w:r>
        <w:t>Zu deren Gewinnung wurde auf jeder Versuchsparzelle mit einem Bodenbohrer 9 Mal jeweils 30 cm tief in den Boden gestochen und der etwa 2 cm dicke Bohrkern mit einem entsprechend geformten Eisen aus dem Bodenbohrer gelöst. Alle 9 Bohrkerne wurden zu einer Sammelprobe vereinigt und diese nach kurzer Lagerung bei +6°C weiterverarbeitet. Der Bodenbohrer wurde nach jeder Parzelle mit Hygienepapier abgewischt und mit Alkohol desinfiziert. Die Bodenproben wurden in St. Margarethen und Seibersdorf am 29.Mai 2017 zur vermuteten Zeit des Larvenschlupfs (aus den Eiern) entnommen, in Donnersdorf hingegen am 29.Juni 2017 zur Zeit der Aufstellung der Schlupfkäfige.</w:t>
      </w:r>
    </w:p>
    <w:p w:rsidR="004F25BB" w:rsidRDefault="004F25BB" w:rsidP="001848E3">
      <w:pPr>
        <w:pStyle w:val="Flietext"/>
      </w:pPr>
    </w:p>
    <w:p w:rsidR="004F25BB" w:rsidRDefault="004F25BB" w:rsidP="001848E3">
      <w:pPr>
        <w:pStyle w:val="Flietext"/>
      </w:pPr>
    </w:p>
    <w:p w:rsidR="001848E3" w:rsidRDefault="001848E3" w:rsidP="001848E3">
      <w:pPr>
        <w:pStyle w:val="Flietext"/>
      </w:pPr>
      <w:r>
        <w:t>3.4.2.</w:t>
      </w:r>
      <w:r>
        <w:tab/>
        <w:t xml:space="preserve">Nachweis von </w:t>
      </w:r>
      <w:r w:rsidRPr="004F25BB">
        <w:rPr>
          <w:i/>
        </w:rPr>
        <w:t>Lecanicillium lecanii</w:t>
      </w:r>
    </w:p>
    <w:p w:rsidR="001848E3" w:rsidRDefault="001848E3" w:rsidP="00FB2C0E">
      <w:pPr>
        <w:pStyle w:val="Flietext"/>
        <w:jc w:val="both"/>
      </w:pPr>
      <w:r>
        <w:t xml:space="preserve">Die Weiterverarbeitung der Bodenproben und der Nachweis von </w:t>
      </w:r>
      <w:r w:rsidRPr="00FB2C0E">
        <w:rPr>
          <w:i/>
        </w:rPr>
        <w:t>Lecanicillium lecanii</w:t>
      </w:r>
      <w:r>
        <w:t xml:space="preserve"> erfolgte gemäß einem Laborprotokoll (Strasser et al 2005) welches auf einem Dodine-haltigen Selektivmedium beruht. Dieses war zuvor in einem Blindversuch auf seine Anwendbarkeit bezüglich </w:t>
      </w:r>
      <w:r w:rsidRPr="003936B3">
        <w:rPr>
          <w:i/>
        </w:rPr>
        <w:t>Lecanicillium lecanii</w:t>
      </w:r>
      <w:r>
        <w:t xml:space="preserve"> überprüft worden.</w:t>
      </w:r>
    </w:p>
    <w:p w:rsidR="001848E3" w:rsidRDefault="001848E3" w:rsidP="001848E3">
      <w:pPr>
        <w:pStyle w:val="Flietext"/>
      </w:pPr>
      <w:r>
        <w:t>3.4.3.</w:t>
      </w:r>
      <w:r>
        <w:tab/>
        <w:t>Nachweis von Metacordyceps chlamydosporium</w:t>
      </w:r>
    </w:p>
    <w:p w:rsidR="001848E3" w:rsidRDefault="001848E3" w:rsidP="00FB2C0E">
      <w:pPr>
        <w:pStyle w:val="Flietext"/>
        <w:jc w:val="both"/>
      </w:pPr>
      <w:r>
        <w:t xml:space="preserve">Bei der Aufarbeitung der Bodenproben aus St. Margarethen konnten immer wieder Pilze isoliert werden, welche morphologische Ähnlichkeiten zu dem gesuchten Pilz </w:t>
      </w:r>
      <w:r w:rsidRPr="003936B3">
        <w:rPr>
          <w:i/>
        </w:rPr>
        <w:t>Lecanicillium lecanii</w:t>
      </w:r>
      <w:r>
        <w:t xml:space="preserve"> zeigten. Zur Identifizierung dieser Isolate wurde DNA-Barcoding angewandt.</w:t>
      </w:r>
    </w:p>
    <w:p w:rsidR="001848E3" w:rsidRDefault="001848E3" w:rsidP="001848E3">
      <w:pPr>
        <w:pStyle w:val="Flietext"/>
      </w:pPr>
      <w:r>
        <w:t>3.5.</w:t>
      </w:r>
      <w:r>
        <w:tab/>
        <w:t xml:space="preserve">Ermittlung der Diabrotica-Schlupfzahlen </w:t>
      </w:r>
    </w:p>
    <w:p w:rsidR="001848E3" w:rsidRDefault="001848E3" w:rsidP="00FB2C0E">
      <w:pPr>
        <w:pStyle w:val="Flietext"/>
        <w:jc w:val="both"/>
      </w:pPr>
      <w:r>
        <w:t>Zur Ermittlung der Anzahl geschlüpfter Käfer diente ein pyramidenförmiger Schlupftrichter (Eklektor): dieser bes</w:t>
      </w:r>
      <w:r w:rsidR="00FB2C0E">
        <w:t>tand</w:t>
      </w:r>
      <w:r>
        <w:t xml:space="preserve"> aus einem am Boden fixierten Holzrahmen (50cm x 65cm), über welchen ein Stoffgazeschlauch gestülpt </w:t>
      </w:r>
      <w:r w:rsidR="00FB2C0E">
        <w:t>war</w:t>
      </w:r>
      <w:r>
        <w:t>, sodass eine Art Gazepyramide entst</w:t>
      </w:r>
      <w:r w:rsidR="00FB2C0E">
        <w:t>and</w:t>
      </w:r>
      <w:r>
        <w:t>. Diese w</w:t>
      </w:r>
      <w:r w:rsidR="00FB2C0E">
        <w:t>urde</w:t>
      </w:r>
      <w:r>
        <w:t xml:space="preserve"> durch eine durchlöcherte PET Flasche in der Mitte gestützt (Zeltstütze), an deren Flaschenhals ein von außen zu öffnender „Fangkelch“ angeschraubt </w:t>
      </w:r>
      <w:r w:rsidR="00FB2C0E">
        <w:t>war</w:t>
      </w:r>
      <w:r>
        <w:t>. In diesem Fangkelch bef</w:t>
      </w:r>
      <w:r w:rsidR="00FB2C0E">
        <w:t>and</w:t>
      </w:r>
      <w:r>
        <w:t xml:space="preserve"> sich ein Stückchen eines Maiskolbens, um die Käfer anzulocken. Diese „Diacontfallen“ waren über jeweils 4 Maispflanzen errichtet worden, die auf 20 cm gekürzt waren. Auf diese Weise war gewährleistet, dass die im Boden befindlichen Pflanzenteile nicht faulten sondern noch lange am Leben blieben, um möglichst vielen </w:t>
      </w:r>
      <w:r w:rsidRPr="00FB2C0E">
        <w:rPr>
          <w:i/>
        </w:rPr>
        <w:t>Diabrotica</w:t>
      </w:r>
      <w:r>
        <w:t>-Larven als Nahrung zu dienen. Diese „Diacontfalle“ war im Vorjahr entwickelt worden und hatte im Vergleichsversuch gegenüber den bisher verwendeten Schlupfzelten eine sehr gute Wirksamkeit erzielt.</w:t>
      </w:r>
    </w:p>
    <w:p w:rsidR="001848E3" w:rsidRDefault="001848E3" w:rsidP="00FB2C0E">
      <w:pPr>
        <w:pStyle w:val="Flietext"/>
        <w:jc w:val="both"/>
      </w:pPr>
      <w:r>
        <w:t>Die Aufstellung erfolgte in Seibersdorf am 22.Juni, in Donnersdorf am 29.Juni und in St. Margarethen am 30.Juni 2017. Diese Fallen wurden einmal pro Woche entleert. Dazu wurde der Deckel des „Fangkelchs“ geöffnet und die nach oben kriechenden Käfer gezählt. Sobald an einem Standort keine Käfer mehr schlüpften (im Laufe des August), wurden die Fallen wieder entfernt.</w:t>
      </w:r>
    </w:p>
    <w:p w:rsidR="001848E3" w:rsidRDefault="001848E3" w:rsidP="001848E3">
      <w:pPr>
        <w:pStyle w:val="Flietext"/>
      </w:pPr>
      <w:r>
        <w:t>4.</w:t>
      </w:r>
      <w:r>
        <w:tab/>
        <w:t>Ergebnisse</w:t>
      </w:r>
    </w:p>
    <w:p w:rsidR="001848E3" w:rsidRDefault="001848E3" w:rsidP="001848E3">
      <w:pPr>
        <w:pStyle w:val="Flietext"/>
      </w:pPr>
      <w:r>
        <w:t>4.1.</w:t>
      </w:r>
      <w:r>
        <w:tab/>
        <w:t>Etablierung von Lecanicillium lecanii im Boden</w:t>
      </w:r>
    </w:p>
    <w:p w:rsidR="001848E3" w:rsidRDefault="001848E3" w:rsidP="007D7289">
      <w:pPr>
        <w:pStyle w:val="Flietext"/>
        <w:jc w:val="both"/>
      </w:pPr>
      <w:r>
        <w:t xml:space="preserve">In keiner der Bodenproben konnte der ausgebrachte Pilz </w:t>
      </w:r>
      <w:r w:rsidRPr="00FB2C0E">
        <w:rPr>
          <w:i/>
        </w:rPr>
        <w:t>Lecanicillium lecanii</w:t>
      </w:r>
      <w:r>
        <w:t xml:space="preserve"> nachgewiesen werden. Das zeigt</w:t>
      </w:r>
      <w:r w:rsidR="00FB2C0E">
        <w:t>e</w:t>
      </w:r>
      <w:r>
        <w:t xml:space="preserve">, dass es </w:t>
      </w:r>
      <w:r w:rsidR="00FB2C0E">
        <w:t>dem Pilz</w:t>
      </w:r>
      <w:r>
        <w:t xml:space="preserve"> nicht möglich war, sich unter den gegebenen Bedingungen zu etablieren. Dass der Labortest für </w:t>
      </w:r>
      <w:r w:rsidRPr="00813261">
        <w:rPr>
          <w:i/>
        </w:rPr>
        <w:t>L. lecanii</w:t>
      </w:r>
      <w:r>
        <w:t xml:space="preserve"> sensibel war, hatten Blindproben vor Versuchsbeginn gezeigt.</w:t>
      </w:r>
    </w:p>
    <w:p w:rsidR="001848E3" w:rsidRDefault="001848E3" w:rsidP="001848E3">
      <w:pPr>
        <w:pStyle w:val="Flietext"/>
      </w:pPr>
      <w:r>
        <w:t>4.2.</w:t>
      </w:r>
      <w:r>
        <w:tab/>
        <w:t>Käferschlupf</w:t>
      </w:r>
    </w:p>
    <w:p w:rsidR="001A0190" w:rsidRDefault="003936B3" w:rsidP="00BA0E61">
      <w:pPr>
        <w:pStyle w:val="Flietext"/>
        <w:jc w:val="both"/>
      </w:pPr>
      <w:r>
        <w:t xml:space="preserve">Für </w:t>
      </w:r>
      <w:r w:rsidRPr="001D3CB3">
        <w:t>die</w:t>
      </w:r>
      <w:r w:rsidR="001848E3" w:rsidRPr="001D3CB3">
        <w:t xml:space="preserve"> </w:t>
      </w:r>
      <w:r w:rsidRPr="001D3CB3">
        <w:t>Abbildung 51 wu</w:t>
      </w:r>
      <w:r w:rsidR="001848E3" w:rsidRPr="001D3CB3">
        <w:t>rden jeweils die Summen geschlüpfter Käfer je Käfig als Primärdaten verwendet. Daraus lässt sich je nach Intention</w:t>
      </w:r>
      <w:r w:rsidR="001848E3">
        <w:t xml:space="preserve"> die Anzahl von Käfern je Pflanze (x/3) oder die Anzahl von Käfern je m² (x*3,076) errechnen. Da das flächige Verteilungsmuster schlüpfender Käfer eher als rund um die Maispflanze zentriert angenommen w</w:t>
      </w:r>
      <w:r w:rsidR="007D7289">
        <w:t>urde</w:t>
      </w:r>
      <w:r w:rsidR="001848E3">
        <w:t>, wird hier der ersten Methode der Vorzug gegeben, wenn es darum geht die Zahl schlüpfender Käfer je ha zu berechnen. Es könnte aber auch der Mittelwert zwischen beiden Berec</w:t>
      </w:r>
      <w:r w:rsidR="00BA0E61">
        <w:t xml:space="preserve">hnungsarten Verwendung finden. </w:t>
      </w:r>
    </w:p>
    <w:p w:rsidR="001A0190" w:rsidRDefault="001A0190" w:rsidP="001848E3">
      <w:pPr>
        <w:pStyle w:val="Flietext"/>
      </w:pPr>
      <w:r>
        <w:rPr>
          <w:noProof/>
          <w:lang w:eastAsia="de-AT"/>
        </w:rPr>
        <w:drawing>
          <wp:inline distT="0" distB="0" distL="0" distR="0" wp14:anchorId="40B330C0" wp14:editId="443B6865">
            <wp:extent cx="3116229" cy="2406650"/>
            <wp:effectExtent l="0" t="0" r="8255" b="0"/>
            <wp:docPr id="14" name="Grafik 14" title="Lecanicillium Versuch St. Margarethen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130989" cy="2418049"/>
                    </a:xfrm>
                    <a:prstGeom prst="rect">
                      <a:avLst/>
                    </a:prstGeom>
                  </pic:spPr>
                </pic:pic>
              </a:graphicData>
            </a:graphic>
          </wp:inline>
        </w:drawing>
      </w:r>
    </w:p>
    <w:p w:rsidR="001A0190" w:rsidRDefault="001A0190" w:rsidP="001848E3">
      <w:pPr>
        <w:pStyle w:val="Flietext"/>
      </w:pPr>
      <w:r>
        <w:rPr>
          <w:noProof/>
          <w:lang w:eastAsia="de-AT"/>
        </w:rPr>
        <w:drawing>
          <wp:inline distT="0" distB="0" distL="0" distR="0" wp14:anchorId="762878D8" wp14:editId="3012A48D">
            <wp:extent cx="3028950" cy="2469576"/>
            <wp:effectExtent l="0" t="0" r="0" b="6985"/>
            <wp:docPr id="9229" name="Grafik 9229" title="Lecanicillium Versuch Donnersdorf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43575" cy="2481500"/>
                    </a:xfrm>
                    <a:prstGeom prst="rect">
                      <a:avLst/>
                    </a:prstGeom>
                  </pic:spPr>
                </pic:pic>
              </a:graphicData>
            </a:graphic>
          </wp:inline>
        </w:drawing>
      </w:r>
    </w:p>
    <w:p w:rsidR="003936B3" w:rsidRDefault="001A0190" w:rsidP="001848E3">
      <w:pPr>
        <w:pStyle w:val="Flietext"/>
      </w:pPr>
      <w:r>
        <w:rPr>
          <w:noProof/>
          <w:lang w:eastAsia="de-AT"/>
        </w:rPr>
        <w:drawing>
          <wp:inline distT="0" distB="0" distL="0" distR="0" wp14:anchorId="0DBB6B4D" wp14:editId="75C05365">
            <wp:extent cx="2971800" cy="2401950"/>
            <wp:effectExtent l="0" t="0" r="0" b="0"/>
            <wp:docPr id="9230" name="Grafik 9230" title="Lecanicillium Versuch Seibersdorf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988702" cy="2415611"/>
                    </a:xfrm>
                    <a:prstGeom prst="rect">
                      <a:avLst/>
                    </a:prstGeom>
                  </pic:spPr>
                </pic:pic>
              </a:graphicData>
            </a:graphic>
          </wp:inline>
        </w:drawing>
      </w:r>
    </w:p>
    <w:p w:rsidR="001A0190" w:rsidRDefault="001A0190" w:rsidP="001848E3">
      <w:pPr>
        <w:pStyle w:val="Flietext"/>
      </w:pPr>
    </w:p>
    <w:p w:rsidR="003936B3" w:rsidRDefault="003936B3" w:rsidP="007D7289">
      <w:pPr>
        <w:pStyle w:val="Beschriftung"/>
        <w:jc w:val="both"/>
        <w:rPr>
          <w:color w:val="auto"/>
          <w:lang w:eastAsia="de-DE"/>
        </w:rPr>
      </w:pPr>
      <w:bookmarkStart w:id="248" w:name="_Toc7715439"/>
      <w:r w:rsidRPr="00B70C83">
        <w:rPr>
          <w:color w:val="auto"/>
        </w:rPr>
        <w:t xml:space="preserve">Abbildung </w:t>
      </w:r>
      <w:r w:rsidRPr="00B70C83">
        <w:rPr>
          <w:noProof/>
          <w:color w:val="auto"/>
        </w:rPr>
        <w:fldChar w:fldCharType="begin"/>
      </w:r>
      <w:r w:rsidRPr="00B70C83">
        <w:rPr>
          <w:noProof/>
          <w:color w:val="auto"/>
        </w:rPr>
        <w:instrText xml:space="preserve"> SEQ Abbildung \* ARABIC </w:instrText>
      </w:r>
      <w:r w:rsidRPr="00B70C83">
        <w:rPr>
          <w:noProof/>
          <w:color w:val="auto"/>
        </w:rPr>
        <w:fldChar w:fldCharType="separate"/>
      </w:r>
      <w:r>
        <w:rPr>
          <w:noProof/>
          <w:color w:val="auto"/>
        </w:rPr>
        <w:t>51</w:t>
      </w:r>
      <w:r w:rsidRPr="00B70C83">
        <w:rPr>
          <w:noProof/>
          <w:color w:val="auto"/>
        </w:rPr>
        <w:fldChar w:fldCharType="end"/>
      </w:r>
      <w:r w:rsidRPr="00B70C83">
        <w:rPr>
          <w:color w:val="auto"/>
        </w:rPr>
        <w:t xml:space="preserve">: </w:t>
      </w:r>
      <w:r>
        <w:rPr>
          <w:color w:val="auto"/>
        </w:rPr>
        <w:t xml:space="preserve">Käferschlupf in Abhängigkeit der Behandlungsvarianten mit L. lecanii. </w:t>
      </w:r>
      <w:r w:rsidRPr="003936B3">
        <w:rPr>
          <w:color w:val="auto"/>
          <w:lang w:eastAsia="de-DE"/>
        </w:rPr>
        <w:t>Die dargestellten Boxplots zeigen als Mittellinie den Median, obere und untere Begrenzung des Rechtecks markieren oberes und unteres Quartil, die Ausleger markieren das 5% bzw. das 95% Perzentil; statistische Ausreißer sind durch Sterne markiert.</w:t>
      </w:r>
      <w:bookmarkEnd w:id="248"/>
    </w:p>
    <w:p w:rsidR="003936B3" w:rsidRDefault="003936B3" w:rsidP="001848E3">
      <w:pPr>
        <w:pStyle w:val="Flietext"/>
      </w:pPr>
    </w:p>
    <w:p w:rsidR="001848E3" w:rsidRDefault="001848E3" w:rsidP="001848E3">
      <w:pPr>
        <w:pStyle w:val="Flietext"/>
      </w:pPr>
      <w:r>
        <w:t>4.2.1.</w:t>
      </w:r>
      <w:r>
        <w:tab/>
        <w:t>St. Margarethen im Raabtal</w:t>
      </w:r>
    </w:p>
    <w:p w:rsidR="001848E3" w:rsidRDefault="001848E3" w:rsidP="007D7289">
      <w:pPr>
        <w:pStyle w:val="Flietext"/>
        <w:jc w:val="both"/>
      </w:pPr>
      <w:r>
        <w:t xml:space="preserve">Die niedrigsten Käferzahlen waren am Versuchsstandort St. Margarethen zu verzeichnen. Insgesamt wurden 2.021 Käfer, daher </w:t>
      </w:r>
      <w:r w:rsidRPr="001D3CB3">
        <w:t xml:space="preserve">durchschnittlich 67,4 Käfer je Käfig gezählt. Die durchschnittliche Käferzahl je Versuchsvariante war 65,5 für Pilzgerste, 69,2 für Katzenstreu und 63,8 für unbehandelt. Im </w:t>
      </w:r>
      <w:r w:rsidR="00AD5941" w:rsidRPr="001D3CB3">
        <w:t xml:space="preserve">oben </w:t>
      </w:r>
      <w:r w:rsidRPr="001D3CB3">
        <w:t xml:space="preserve">abgebildeten Boxplot-Diagramm </w:t>
      </w:r>
      <w:r w:rsidR="00AD5941" w:rsidRPr="001D3CB3">
        <w:t xml:space="preserve">(Abbildung 51) </w:t>
      </w:r>
      <w:r w:rsidRPr="001D3CB3">
        <w:t>überlappen</w:t>
      </w:r>
      <w:r>
        <w:t xml:space="preserve"> die Schlupfquoten für die einzelnen Behandlungsvarianten einander so stark, dass </w:t>
      </w:r>
      <w:r w:rsidR="007D7289">
        <w:t xml:space="preserve">statistisch relevante Unterschiede ausgeschlossen werden können und </w:t>
      </w:r>
      <w:r>
        <w:t>auf eine weitere statistische Behandlung, wie eine Varianzanalyse verzichtet wurde.</w:t>
      </w:r>
    </w:p>
    <w:p w:rsidR="001848E3" w:rsidRDefault="001848E3" w:rsidP="001848E3">
      <w:pPr>
        <w:pStyle w:val="Flietext"/>
      </w:pPr>
      <w:r>
        <w:t>4.2.2.</w:t>
      </w:r>
      <w:r>
        <w:tab/>
        <w:t>Seibersdorf bei St. Veit</w:t>
      </w:r>
    </w:p>
    <w:p w:rsidR="001848E3" w:rsidRDefault="001848E3" w:rsidP="007D7289">
      <w:pPr>
        <w:pStyle w:val="Flietext"/>
        <w:jc w:val="both"/>
      </w:pPr>
      <w:r>
        <w:t xml:space="preserve">Die zweithöchsten Käferzahlen waren am Versuchs-standort Seibersdorf zu verzeichnen. Insgesamt wurden dort 2.799 Käfer, mithin durchschnittlich 96,5 Käfer je Käfig gezählt. Die durchschnittliche Käferzahl je Versuchsvariante war 90,1 für Pilzgerste, 101,6 für Katzenstreu und 99,4 für unbehandelt. </w:t>
      </w:r>
    </w:p>
    <w:p w:rsidR="001848E3" w:rsidRDefault="001848E3" w:rsidP="001848E3">
      <w:pPr>
        <w:pStyle w:val="Flietext"/>
      </w:pPr>
      <w:r>
        <w:t>4.2.3.</w:t>
      </w:r>
      <w:r>
        <w:tab/>
        <w:t>Donnersdorf (bei Bad Radkersburg)</w:t>
      </w:r>
    </w:p>
    <w:p w:rsidR="001848E3" w:rsidRDefault="001848E3" w:rsidP="007D7289">
      <w:pPr>
        <w:pStyle w:val="Flietext"/>
        <w:jc w:val="both"/>
      </w:pPr>
      <w:r>
        <w:t xml:space="preserve">Die höchsten Käferzahlen waren am Versuchsstandort Donnersdorf zu verzeichnen. Insgesamt wurden 6.640 Käfer, mithin durchschnittlich 221,3 Käfer je Käfig gezählt. Die durchschnittliche Käferzahl je Versuchsvariante war 197,3 für Pilzgerste, 245,6 für Katzenstreu und 220,8 für unbehandelt. </w:t>
      </w:r>
    </w:p>
    <w:p w:rsidR="001848E3" w:rsidRPr="007D7289" w:rsidRDefault="001848E3" w:rsidP="001848E3">
      <w:pPr>
        <w:pStyle w:val="Flietext"/>
      </w:pPr>
      <w:r>
        <w:t>5.</w:t>
      </w:r>
      <w:r>
        <w:tab/>
      </w:r>
      <w:r w:rsidR="007D7289">
        <w:t xml:space="preserve">Mögliche Ursachen für die mangelnde Etablierung von </w:t>
      </w:r>
      <w:r w:rsidR="007D7289" w:rsidRPr="007D7289">
        <w:rPr>
          <w:i/>
        </w:rPr>
        <w:t>Lecanicillium lecanii</w:t>
      </w:r>
      <w:r w:rsidR="007D7289">
        <w:rPr>
          <w:i/>
        </w:rPr>
        <w:t xml:space="preserve"> </w:t>
      </w:r>
      <w:r w:rsidR="007D7289">
        <w:t>im Freiland</w:t>
      </w:r>
    </w:p>
    <w:p w:rsidR="001848E3" w:rsidRDefault="001848E3" w:rsidP="007D7289">
      <w:pPr>
        <w:pStyle w:val="Flietext"/>
        <w:jc w:val="both"/>
      </w:pPr>
      <w:r>
        <w:t xml:space="preserve">Die mangelnde Etablierung von </w:t>
      </w:r>
      <w:r w:rsidRPr="007D7289">
        <w:rPr>
          <w:i/>
        </w:rPr>
        <w:t>Lecanicillium</w:t>
      </w:r>
      <w:r>
        <w:t xml:space="preserve"> im Boden könnte unterschiedliche Gründe gehabt haben: der Pilz war ursprünglich aus einem sandigen Boden bei Marchegg isoliert worden. Es wäre demnach möglich, dass lediglich der Bodentypus ungeeignet gewesen wäre. Darüber hinaus könnte es sein, dass Fäulnisprozesse an den absterbenden Hyphen sich negativ ausgewirkt hätten. Schließlich wäre es auch noch denkbar, dass durch den Nährstoffreichtum der Pilzgerste antagonistische Mikroorganismen angelockt worden wären, welche eine Etablierung unmöglich gemacht hätten. Ohne diesbezügliche Versuche k</w:t>
      </w:r>
      <w:r w:rsidR="007D7289">
        <w:t>onnte</w:t>
      </w:r>
      <w:r>
        <w:t xml:space="preserve"> jedoch keine Entscheidung getroffen werden, was denn die tiefere Ursache der mangelnden Etablierung dieses Antagonisten gewesen war. Schließlich könnte noch argumentiert werden, dass die Proben nicht zum richtigen Zeitpunkt gezogen worden wären. Dem ist entgegenzuhalten, dass die Biomasse der </w:t>
      </w:r>
      <w:r w:rsidRPr="007D7289">
        <w:rPr>
          <w:i/>
        </w:rPr>
        <w:t>Diabrotica</w:t>
      </w:r>
      <w:r>
        <w:t xml:space="preserve"> Eier sehr klein ist, diese verteilt im Boden lägen und ohne dauerhafte Etablierung des Antagonisten im Boden ohnehin kaum mit Wirkung gerechnet werden könnte.</w:t>
      </w:r>
      <w:r w:rsidR="007D7289">
        <w:t xml:space="preserve"> Die einflussnehmenden Faktoren auf die Überdauerung von </w:t>
      </w:r>
      <w:r w:rsidR="007D7289" w:rsidRPr="007D7289">
        <w:rPr>
          <w:i/>
        </w:rPr>
        <w:t>Lecanicillium lecanii</w:t>
      </w:r>
      <w:r w:rsidR="007D7289">
        <w:t xml:space="preserve"> im Boden wurden im letzten Projektjahr innerhalb des Überwinterungsversuches näher untersucht (</w:t>
      </w:r>
      <w:r w:rsidR="001D3CB3">
        <w:t>siehe Kapitel 4 - Überwinterungsversuch</w:t>
      </w:r>
      <w:r w:rsidR="007D7289">
        <w:t>).</w:t>
      </w:r>
    </w:p>
    <w:p w:rsidR="001848E3" w:rsidRDefault="001848E3" w:rsidP="007D7289">
      <w:pPr>
        <w:pStyle w:val="Flietext"/>
        <w:jc w:val="both"/>
      </w:pPr>
      <w:r>
        <w:t>An keinem der 3 Standorte zeigte sich ein statistisch abgesicherter Unterschied zwischen den Schlupfraten der 3 Behandlungsvarianten. Der Nachweis dieser „Nichtwirkung“ passt sehr gut zum Nachweis der fehlenden Etablierung dieses insektenpathogenen Pilzes im Boden.</w:t>
      </w:r>
    </w:p>
    <w:p w:rsidR="001848E3" w:rsidRDefault="001848E3" w:rsidP="007D7289">
      <w:pPr>
        <w:pStyle w:val="Flietext"/>
        <w:jc w:val="both"/>
      </w:pPr>
      <w:r>
        <w:t>Für weitergehende Berechnungen werden Parzellen aller 3 Versuchsvarianten daher als unbehandelt und gleichwertig angesehen. Diese Schlupfdaten können verwendet werden, um örtliche Abweichungen vom Mittelwert des Käferschlupfes unter natürlichen Verhältnissen zu berechnen. Diese Abweichungen sind offenbar wesentlich kleiner, als Flugbilder von Pflanzenschäden bisher haben vermuten lassen. Häufig war hierbei von herdweisem Auftreten von Pflanzenschäden die Rede. Die hier gewonnenen Schlupfzahlen aus Donnersdorf, wo die Versuchsfläche völlig homogen war, lassen solche Angaben jedoch in etwas anderem Licht erscheinen. Diese Ergebnisse sind äußerst hilfreich bei der Planung weiterer Wirksamkeitsversuche im Rahmen dieses Projektes und können Hinweise zur optimalen Parzellengröße und zur benötigten Zahl an Versuchswiederholungen liefern.</w:t>
      </w:r>
    </w:p>
    <w:p w:rsidR="001C7150" w:rsidRDefault="001848E3" w:rsidP="007D7289">
      <w:pPr>
        <w:pStyle w:val="Flietext"/>
        <w:jc w:val="both"/>
      </w:pPr>
      <w:r>
        <w:t xml:space="preserve">Zuletzt konnte ein bisher aus Österreich noch nie gemeldeter Verwandter von </w:t>
      </w:r>
      <w:r w:rsidRPr="007D7289">
        <w:rPr>
          <w:i/>
        </w:rPr>
        <w:t>Lecanicillium lecanii</w:t>
      </w:r>
      <w:r>
        <w:t xml:space="preserve"> nachgewiesen werden, nämlich um </w:t>
      </w:r>
      <w:r w:rsidRPr="007D7289">
        <w:rPr>
          <w:i/>
        </w:rPr>
        <w:t>Metacordyceps chlamydosporium</w:t>
      </w:r>
      <w:r>
        <w:t xml:space="preserve">. </w:t>
      </w:r>
      <w:r w:rsidR="007D7289">
        <w:t xml:space="preserve">Zum Zeitpunkt des Nachweises war </w:t>
      </w:r>
      <w:r>
        <w:t>noch nicht klar, ob dieser ebenfalls insektenpa</w:t>
      </w:r>
      <w:r w:rsidR="007D7289">
        <w:t>thogene Eigenschaften aufweist. Eine zufriedenstellende Wirksamkeit konnte im dritten Projektjahr jedoch ausgeschlossen werden (</w:t>
      </w:r>
      <w:r w:rsidR="001D3CB3" w:rsidRPr="001D3CB3">
        <w:t>siehe Kapitel 4.2</w:t>
      </w:r>
      <w:r w:rsidR="007D7289" w:rsidRPr="001D3CB3">
        <w:t>).</w:t>
      </w:r>
      <w:r w:rsidR="007D7289">
        <w:t xml:space="preserve"> </w:t>
      </w:r>
    </w:p>
    <w:p w:rsidR="004C01AB" w:rsidRDefault="004C01AB" w:rsidP="004C01AB">
      <w:pPr>
        <w:pStyle w:val="berschrift2Grad"/>
        <w:rPr>
          <w:rStyle w:val="Einleitung"/>
          <w:rFonts w:eastAsiaTheme="minorEastAsia" w:cs="Times New Roman"/>
        </w:rPr>
      </w:pPr>
      <w:bookmarkStart w:id="249" w:name="_Toc7715610"/>
      <w:r>
        <w:rPr>
          <w:rStyle w:val="Einleitung"/>
          <w:rFonts w:eastAsiaTheme="minorEastAsia" w:cs="Times New Roman"/>
        </w:rPr>
        <w:t>Das Stressschutz-Bekterium Stenotrophomonas rhizophila</w:t>
      </w:r>
      <w:bookmarkEnd w:id="249"/>
    </w:p>
    <w:p w:rsidR="006B3A3E" w:rsidRDefault="006B3A3E" w:rsidP="009C0D70">
      <w:pPr>
        <w:pStyle w:val="Flietext"/>
        <w:jc w:val="both"/>
      </w:pPr>
      <w:r w:rsidRPr="007D7289">
        <w:t xml:space="preserve">Wurzel-assoziierte Mikroorganismen </w:t>
      </w:r>
      <w:r>
        <w:t>tragen maßgeblich zur Erhöhung der Widerstandskraft von Pflanzen gegenüber Schaderregern und abiotischem Stress bei. Eine Schwächung der Pflanze durch abiotische Stressfaktoren, wie beispielsweise Trockenheit und Hitze, erhöht die Anfälligkeit gegenüber Pathogenen und die Manifestation der Schäden.</w:t>
      </w:r>
      <w:r w:rsidRPr="00D37436">
        <w:t xml:space="preserve"> </w:t>
      </w:r>
      <w:r>
        <w:t xml:space="preserve">Ausgehend vom Potential des Bakteriums </w:t>
      </w:r>
      <w:r w:rsidRPr="00AA2678">
        <w:rPr>
          <w:i/>
        </w:rPr>
        <w:t>Stenotrophomonas rhizophila</w:t>
      </w:r>
      <w:r>
        <w:t xml:space="preserve">, Wurzelwachstum anzuregen und die Stresstoleranz zu erhöhen, diente dessen Anwendung dem Ziel, die Beeinträchtigung der Standfestigkeit der Maispflanze und des Kornertrags aufgrund </w:t>
      </w:r>
      <w:r w:rsidRPr="00A543D1">
        <w:t xml:space="preserve">der durch Larven des Maiswurzelbohrers </w:t>
      </w:r>
      <w:r>
        <w:t>gesch</w:t>
      </w:r>
      <w:r w:rsidR="009C0D70">
        <w:t>ädigten Wurzeln zu reduzieren.</w:t>
      </w:r>
    </w:p>
    <w:p w:rsidR="006B3A3E" w:rsidRDefault="006B3A3E" w:rsidP="009C0D70">
      <w:pPr>
        <w:pStyle w:val="Flietext"/>
        <w:jc w:val="both"/>
      </w:pPr>
      <w:r w:rsidRPr="00AA2678">
        <w:t xml:space="preserve">Im Hauptfokus </w:t>
      </w:r>
      <w:r>
        <w:t xml:space="preserve">der Untersuchungen </w:t>
      </w:r>
      <w:r w:rsidRPr="00AA2678">
        <w:t xml:space="preserve">stand die Ermittlung der Wirkung </w:t>
      </w:r>
      <w:r>
        <w:t xml:space="preserve">des Bakteriums </w:t>
      </w:r>
      <w:r w:rsidRPr="00AA2678">
        <w:t>unter Feldbedingungen</w:t>
      </w:r>
      <w:r>
        <w:t xml:space="preserve">. Anhand von Freilandversuchen, die in vier aufeinander folgenden Jahren an unterschiedlichen Standorten in Österreich durchgeführt wurden, konnte unabhängig vom Befallsdruck der positive Effekt von </w:t>
      </w:r>
      <w:r w:rsidRPr="007F25C8">
        <w:rPr>
          <w:i/>
        </w:rPr>
        <w:t>S. rhizophila</w:t>
      </w:r>
      <w:r>
        <w:t xml:space="preserve"> </w:t>
      </w:r>
      <w:r w:rsidRPr="00AA2678">
        <w:t>auf die Parameter Feldaufgang, Jungpflanzenentwicklung, Lagerschäden zum Erntezeitpunkt sowie Ernteertrag</w:t>
      </w:r>
      <w:r>
        <w:t xml:space="preserve"> demonstriert werden</w:t>
      </w:r>
      <w:r w:rsidRPr="00AA2678">
        <w:t>.</w:t>
      </w:r>
      <w:r w:rsidRPr="00BC6EA7">
        <w:t xml:space="preserve"> </w:t>
      </w:r>
      <w:r>
        <w:t xml:space="preserve">Neben einer experimentellen Saatgutinokulation durch Infiltration, wurde für </w:t>
      </w:r>
      <w:r w:rsidRPr="00BC6EA7">
        <w:rPr>
          <w:i/>
        </w:rPr>
        <w:t>S. rhizophila</w:t>
      </w:r>
      <w:r w:rsidRPr="00BC6EA7">
        <w:t xml:space="preserve"> </w:t>
      </w:r>
      <w:r>
        <w:t xml:space="preserve">eine Formulierung entwickelt, die </w:t>
      </w:r>
      <w:r w:rsidRPr="00BC6EA7">
        <w:t xml:space="preserve">eine praxisnahe Methode zur </w:t>
      </w:r>
      <w:r>
        <w:t xml:space="preserve">Saatgutbehandlung ermöglicht und </w:t>
      </w:r>
      <w:r w:rsidRPr="00BC6EA7">
        <w:t xml:space="preserve">die </w:t>
      </w:r>
      <w:r>
        <w:t xml:space="preserve">Applikation als Beschichtung erlaubt. </w:t>
      </w:r>
      <w:r w:rsidRPr="00AA2678">
        <w:t xml:space="preserve">Um die Besiedlungseffizienz von </w:t>
      </w:r>
      <w:r w:rsidRPr="00AA2678">
        <w:rPr>
          <w:i/>
        </w:rPr>
        <w:t>S. rhizophila</w:t>
      </w:r>
      <w:r w:rsidRPr="00AA2678">
        <w:t xml:space="preserve"> </w:t>
      </w:r>
      <w:r>
        <w:t xml:space="preserve">an der Wurzel quantitativ erfassen zu können, wurde eine Stamm-spezifische molekulare Sonde konstruiert, die die Bestimmung der Zelldichte mittels </w:t>
      </w:r>
      <w:r w:rsidRPr="00A543D1">
        <w:t>quantitativer Echtzeit-PCR</w:t>
      </w:r>
      <w:r>
        <w:t xml:space="preserve"> möglich machte. Zudem wurde eine mögliche</w:t>
      </w:r>
      <w:r w:rsidRPr="00AA2678">
        <w:t xml:space="preserve"> </w:t>
      </w:r>
      <w:r>
        <w:t>Beeinflussung</w:t>
      </w:r>
      <w:r w:rsidRPr="00AA2678">
        <w:t xml:space="preserve"> </w:t>
      </w:r>
      <w:r>
        <w:t>des bakteriellen Inokulums auf das</w:t>
      </w:r>
      <w:r w:rsidRPr="00AA2678">
        <w:t xml:space="preserve"> Wurzelmikrobiom mittels 16S Amplikon-Sequenzierung </w:t>
      </w:r>
      <w:r>
        <w:t>untersucht</w:t>
      </w:r>
      <w:r w:rsidRPr="00AA2678">
        <w:t xml:space="preserve">. Die </w:t>
      </w:r>
      <w:r>
        <w:t xml:space="preserve">Feldversuche wurden durch mikroskopische Analysen begleitet, </w:t>
      </w:r>
      <w:r w:rsidRPr="00AA2678">
        <w:t xml:space="preserve">die </w:t>
      </w:r>
      <w:r>
        <w:t xml:space="preserve">der Visualisierung der </w:t>
      </w:r>
      <w:r w:rsidRPr="00AA2678">
        <w:t xml:space="preserve">Kolonisierungsmuster </w:t>
      </w:r>
      <w:r w:rsidRPr="00B87833">
        <w:rPr>
          <w:i/>
        </w:rPr>
        <w:t>S. rhizophila</w:t>
      </w:r>
      <w:r w:rsidRPr="00B87833">
        <w:t xml:space="preserve"> </w:t>
      </w:r>
      <w:r>
        <w:t>von dienten</w:t>
      </w:r>
      <w:r w:rsidRPr="00AA2678">
        <w:t xml:space="preserve">. </w:t>
      </w:r>
    </w:p>
    <w:p w:rsidR="00353112" w:rsidRDefault="00353112" w:rsidP="006B3A3E">
      <w:pPr>
        <w:pStyle w:val="Flietext"/>
      </w:pPr>
    </w:p>
    <w:p w:rsidR="006B3A3E" w:rsidRDefault="006B3A3E" w:rsidP="00353112">
      <w:pPr>
        <w:pStyle w:val="1Unterkapitel"/>
      </w:pPr>
      <w:bookmarkStart w:id="250" w:name="_Toc532526331"/>
      <w:bookmarkStart w:id="251" w:name="_Toc7715611"/>
      <w:r>
        <w:t xml:space="preserve">Effekt </w:t>
      </w:r>
      <w:r w:rsidRPr="00EA17A9">
        <w:t>VON S</w:t>
      </w:r>
      <w:r w:rsidR="00706CD2">
        <w:t>.</w:t>
      </w:r>
      <w:r w:rsidRPr="00EA17A9">
        <w:t xml:space="preserve"> RHIZOPHILA </w:t>
      </w:r>
      <w:r>
        <w:t>auf AUflaufrate, Jungpflanzenentwic</w:t>
      </w:r>
      <w:r w:rsidR="00706CD2">
        <w:t xml:space="preserve">klung, Standfestigkeit und </w:t>
      </w:r>
      <w:r>
        <w:t>ertrag</w:t>
      </w:r>
      <w:bookmarkEnd w:id="250"/>
      <w:bookmarkEnd w:id="251"/>
    </w:p>
    <w:p w:rsidR="00E533E5" w:rsidRDefault="006B3A3E" w:rsidP="00F95C0D">
      <w:pPr>
        <w:pStyle w:val="Flietext"/>
        <w:jc w:val="both"/>
      </w:pPr>
      <w:r>
        <w:t xml:space="preserve">Es wurden Feldversuche in vier aufeinander folgenden Jahren an verschiedenen Standorten in Österreich durchgeführt. </w:t>
      </w:r>
      <w:r w:rsidRPr="00B87833">
        <w:t xml:space="preserve">Im Rahmen der Maisversuche </w:t>
      </w:r>
      <w:r>
        <w:t xml:space="preserve">2015 </w:t>
      </w:r>
      <w:r w:rsidRPr="00D1055A">
        <w:t>kamen die Samen der Maissorte LG3258 (Drei-Nutzungssorte, Mittellanger bis langer Wuchstyp, Sehr gute Standfestigkeit)</w:t>
      </w:r>
      <w:r>
        <w:t xml:space="preserve"> zum Einsatz, die mittels Saatgutinfiltration mit </w:t>
      </w:r>
      <w:r w:rsidRPr="000039D3">
        <w:rPr>
          <w:i/>
        </w:rPr>
        <w:t>S. rhizophila</w:t>
      </w:r>
      <w:r>
        <w:t xml:space="preserve"> inokuliert oder mit steriler 0,9% NaCl-Lösung (Kontrolle) behandelt wurden. Das so behandelte Saatgut wurde entweder mit oder ohne zusätzliche Beschichtung mit dem Standard-Fungizidpräparat „MAXIM“ eingesetzt. </w:t>
      </w:r>
      <w:r w:rsidRPr="00D1055A">
        <w:t xml:space="preserve">Jede </w:t>
      </w:r>
      <w:r>
        <w:t xml:space="preserve">der vier </w:t>
      </w:r>
      <w:r w:rsidRPr="00D1055A">
        <w:t>Variante</w:t>
      </w:r>
      <w:r>
        <w:t>n</w:t>
      </w:r>
      <w:r w:rsidRPr="00D1055A">
        <w:t xml:space="preserve"> wurde in vier Wiederholungen in einem randomisierten Blockdesign an jeweils zwei Standorten (Melk, Oberösterreich und Mitterdorf a.d. Raab, Steiermark) ausgebracht. </w:t>
      </w:r>
      <w:r>
        <w:t>D</w:t>
      </w:r>
      <w:r w:rsidRPr="00B87833">
        <w:t xml:space="preserve">ie Parameter Aufgangsrate, Frischgewicht der Jungpflanzen zwei Wochen nach Aussaat, das </w:t>
      </w:r>
      <w:r w:rsidRPr="000E7FDF">
        <w:t xml:space="preserve">Erntegewicht sowie die Anzahl der gelagerten Pflanzen dienten zur Bewertung des Effekts der Inokulation mit </w:t>
      </w:r>
      <w:r w:rsidRPr="000E7FDF">
        <w:rPr>
          <w:i/>
        </w:rPr>
        <w:t>S. rhizophila</w:t>
      </w:r>
      <w:r w:rsidRPr="000E7FDF">
        <w:t xml:space="preserve"> (Abbildungen </w:t>
      </w:r>
      <w:r w:rsidR="00F95C0D" w:rsidRPr="000E7FDF">
        <w:t xml:space="preserve">52 </w:t>
      </w:r>
      <w:r w:rsidR="00F45469">
        <w:t>bis</w:t>
      </w:r>
      <w:r w:rsidR="00F95C0D" w:rsidRPr="000E7FDF">
        <w:t xml:space="preserve"> 55</w:t>
      </w:r>
      <w:r w:rsidRPr="000E7FDF">
        <w:t xml:space="preserve">). An beiden Versuchsstandorten, mit Ausnahme der Variante ohne Fungizid am Standort Melk, konnte nach zwei Wochen eine tendenzielle Erhöhung der Anzahl aufgekeimter Samen nach der bakteriellen Behandlung festgestellt werden (Abbildung </w:t>
      </w:r>
      <w:r w:rsidR="00F95C0D" w:rsidRPr="000E7FDF">
        <w:t>52</w:t>
      </w:r>
      <w:r w:rsidRPr="000E7FDF">
        <w:t>).</w:t>
      </w:r>
      <w:r w:rsidR="00E533E5" w:rsidRPr="000E7FDF">
        <w:t xml:space="preserve"> Eine statistisch signifikant höhere Auflaufrate wurde für die Variante ohne Fungizid in Weiz ermittelt. Bezüglich des Frischgewichts der Maispflanzen nach zwei Wochen wiesen die </w:t>
      </w:r>
      <w:r w:rsidR="00E533E5" w:rsidRPr="000E7FDF">
        <w:rPr>
          <w:i/>
        </w:rPr>
        <w:t>S. rhizophila</w:t>
      </w:r>
      <w:r w:rsidR="00E533E5" w:rsidRPr="000E7FDF">
        <w:t xml:space="preserve">-behandelten Varianten ohne Fungizid in Weiz sowie die mit Fungizid in Melk statistisch signifikant höhere Werte auf (Abbildung </w:t>
      </w:r>
      <w:r w:rsidR="00F95C0D" w:rsidRPr="000E7FDF">
        <w:t>53</w:t>
      </w:r>
      <w:r w:rsidR="00E533E5" w:rsidRPr="000E7FDF">
        <w:t xml:space="preserve">). Anhand des Erntegewichts konnten nur geringe Unterschiede zwischen den Varianten festgestellt werden (Abbildung </w:t>
      </w:r>
      <w:r w:rsidR="00F95C0D" w:rsidRPr="000E7FDF">
        <w:t>54</w:t>
      </w:r>
      <w:r w:rsidR="00E533E5" w:rsidRPr="000E7FDF">
        <w:t>).</w:t>
      </w:r>
    </w:p>
    <w:p w:rsidR="00353112" w:rsidRDefault="00353112" w:rsidP="00353112">
      <w:pPr>
        <w:pStyle w:val="Beschriftung"/>
      </w:pPr>
      <w:r>
        <w:rPr>
          <w:noProof/>
          <w:lang w:eastAsia="de-AT"/>
        </w:rPr>
        <w:drawing>
          <wp:inline distT="0" distB="0" distL="0" distR="0" wp14:anchorId="0AE2E94E" wp14:editId="3E1CFE19">
            <wp:extent cx="3689350" cy="2222342"/>
            <wp:effectExtent l="0" t="0" r="6350" b="6985"/>
            <wp:docPr id="28" name="Grafik 28" title="Versuchsvergleich Weiz und Me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37824" cy="2251541"/>
                    </a:xfrm>
                    <a:prstGeom prst="rect">
                      <a:avLst/>
                    </a:prstGeom>
                    <a:noFill/>
                  </pic:spPr>
                </pic:pic>
              </a:graphicData>
            </a:graphic>
          </wp:inline>
        </w:drawing>
      </w:r>
    </w:p>
    <w:p w:rsidR="00E533E5" w:rsidRPr="00E533E5" w:rsidRDefault="00353112" w:rsidP="00F95C0D">
      <w:pPr>
        <w:pStyle w:val="Beschriftung"/>
      </w:pPr>
      <w:bookmarkStart w:id="252" w:name="_Toc532525905"/>
      <w:bookmarkStart w:id="253" w:name="_Toc7715440"/>
      <w:r>
        <w:t xml:space="preserve">Abbildung </w:t>
      </w:r>
      <w:fldSimple w:instr=" SEQ Abbildung \* ARABIC ">
        <w:r w:rsidR="00F95C0D">
          <w:rPr>
            <w:noProof/>
          </w:rPr>
          <w:t>52</w:t>
        </w:r>
      </w:fldSimple>
      <w:r>
        <w:t xml:space="preserve">: Versuchsjahr 2015: </w:t>
      </w:r>
      <w:r w:rsidRPr="00A17D8A">
        <w:t>Durchschnittliche Anzahl aufgegangener Pflanzen je Parzelle zwei Wochen nach Aussaat an den Standorten Weiz und Melk.</w:t>
      </w:r>
      <w:bookmarkEnd w:id="252"/>
      <w:bookmarkEnd w:id="253"/>
    </w:p>
    <w:p w:rsidR="00353112" w:rsidRDefault="00353112" w:rsidP="00353112">
      <w:pPr>
        <w:pStyle w:val="Beschriftung"/>
      </w:pPr>
      <w:r>
        <w:rPr>
          <w:noProof/>
          <w:lang w:eastAsia="de-AT"/>
        </w:rPr>
        <w:drawing>
          <wp:inline distT="0" distB="0" distL="0" distR="0" wp14:anchorId="794CE61A" wp14:editId="16246CFB">
            <wp:extent cx="3689350" cy="2355417"/>
            <wp:effectExtent l="0" t="0" r="6350" b="6985"/>
            <wp:docPr id="30" name="Grafik 30" title="Standortvergleich Weiz und Me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12372" cy="2370115"/>
                    </a:xfrm>
                    <a:prstGeom prst="rect">
                      <a:avLst/>
                    </a:prstGeom>
                    <a:noFill/>
                  </pic:spPr>
                </pic:pic>
              </a:graphicData>
            </a:graphic>
          </wp:inline>
        </w:drawing>
      </w:r>
    </w:p>
    <w:p w:rsidR="00E533E5" w:rsidRPr="00E533E5" w:rsidRDefault="00353112" w:rsidP="00F95C0D">
      <w:pPr>
        <w:pStyle w:val="Beschriftung"/>
      </w:pPr>
      <w:bookmarkStart w:id="254" w:name="_Toc532525906"/>
      <w:bookmarkStart w:id="255" w:name="_Toc7715441"/>
      <w:r>
        <w:t xml:space="preserve">Abbildung </w:t>
      </w:r>
      <w:fldSimple w:instr=" SEQ Abbildung \* ARABIC ">
        <w:r w:rsidR="00F95C0D">
          <w:rPr>
            <w:noProof/>
          </w:rPr>
          <w:t>53</w:t>
        </w:r>
      </w:fldSimple>
      <w:r>
        <w:t xml:space="preserve">: Versuchsjahr 2015: </w:t>
      </w:r>
      <w:r w:rsidRPr="009D0195">
        <w:t>Durchschnittliches Frischgewicht je Pflanze in g zwei Wochen nach Aussaat an den Standorten Weiz und Melk</w:t>
      </w:r>
      <w:r>
        <w:t>.</w:t>
      </w:r>
      <w:bookmarkEnd w:id="254"/>
      <w:bookmarkEnd w:id="255"/>
    </w:p>
    <w:p w:rsidR="00353112" w:rsidRDefault="00353112" w:rsidP="00353112">
      <w:pPr>
        <w:pStyle w:val="Beschriftung"/>
      </w:pPr>
      <w:r>
        <w:rPr>
          <w:noProof/>
          <w:lang w:eastAsia="de-AT"/>
        </w:rPr>
        <w:drawing>
          <wp:inline distT="0" distB="0" distL="0" distR="0" wp14:anchorId="0E75A47D" wp14:editId="523417F1">
            <wp:extent cx="3467100" cy="2211973"/>
            <wp:effectExtent l="0" t="0" r="0" b="0"/>
            <wp:docPr id="5" name="Grafik 5" title="Durchschnittlicher Ernteertrag Weiz und Me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83226" cy="2222261"/>
                    </a:xfrm>
                    <a:prstGeom prst="rect">
                      <a:avLst/>
                    </a:prstGeom>
                    <a:noFill/>
                  </pic:spPr>
                </pic:pic>
              </a:graphicData>
            </a:graphic>
          </wp:inline>
        </w:drawing>
      </w:r>
    </w:p>
    <w:p w:rsidR="00353112" w:rsidRDefault="00353112" w:rsidP="00E533E5">
      <w:pPr>
        <w:pStyle w:val="Beschriftung"/>
      </w:pPr>
      <w:bookmarkStart w:id="256" w:name="_Toc532525907"/>
      <w:bookmarkStart w:id="257" w:name="_Toc7715442"/>
      <w:r>
        <w:t xml:space="preserve">Abbildung </w:t>
      </w:r>
      <w:fldSimple w:instr=" SEQ Abbildung \* ARABIC ">
        <w:r w:rsidR="00F95C0D">
          <w:rPr>
            <w:noProof/>
          </w:rPr>
          <w:t>54</w:t>
        </w:r>
      </w:fldSimple>
      <w:r>
        <w:t>: Versuchsjahr 2015:</w:t>
      </w:r>
      <w:r w:rsidRPr="009D0195">
        <w:t xml:space="preserve"> Durchschnittlicher Ernteertrag in dt/ha an den Standorten Weiz und Melk</w:t>
      </w:r>
      <w:r>
        <w:t>.</w:t>
      </w:r>
      <w:bookmarkEnd w:id="256"/>
      <w:bookmarkEnd w:id="257"/>
    </w:p>
    <w:p w:rsidR="00353112" w:rsidRDefault="00353112" w:rsidP="00353112">
      <w:pPr>
        <w:pStyle w:val="Beschriftung"/>
      </w:pPr>
      <w:r>
        <w:rPr>
          <w:noProof/>
          <w:lang w:eastAsia="de-AT"/>
        </w:rPr>
        <w:drawing>
          <wp:inline distT="0" distB="0" distL="0" distR="0" wp14:anchorId="33874BCC" wp14:editId="6873A361">
            <wp:extent cx="3638550" cy="1950975"/>
            <wp:effectExtent l="0" t="0" r="0" b="0"/>
            <wp:docPr id="33" name="Grafik 33" title="Anteil gelagerter Pflanzen Weiz und Me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663740" cy="1964482"/>
                    </a:xfrm>
                    <a:prstGeom prst="rect">
                      <a:avLst/>
                    </a:prstGeom>
                    <a:noFill/>
                  </pic:spPr>
                </pic:pic>
              </a:graphicData>
            </a:graphic>
          </wp:inline>
        </w:drawing>
      </w:r>
    </w:p>
    <w:p w:rsidR="00353112" w:rsidRDefault="00353112" w:rsidP="00E533E5">
      <w:pPr>
        <w:pStyle w:val="Beschriftung"/>
      </w:pPr>
      <w:bookmarkStart w:id="258" w:name="_Toc532525908"/>
      <w:bookmarkStart w:id="259" w:name="_Toc7715443"/>
      <w:r>
        <w:t xml:space="preserve">Abbildung </w:t>
      </w:r>
      <w:fldSimple w:instr=" SEQ Abbildung \* ARABIC ">
        <w:r w:rsidR="00F95C0D">
          <w:rPr>
            <w:noProof/>
          </w:rPr>
          <w:t>55</w:t>
        </w:r>
      </w:fldSimple>
      <w:r>
        <w:t>: Versuchsjahr 2015:</w:t>
      </w:r>
      <w:r w:rsidRPr="009D0195">
        <w:t xml:space="preserve"> </w:t>
      </w:r>
      <w:r>
        <w:rPr>
          <w:rFonts w:cs="Arial"/>
        </w:rPr>
        <w:t>Anteil gelagerter Pflanzen</w:t>
      </w:r>
      <w:r w:rsidRPr="009612FA">
        <w:rPr>
          <w:rFonts w:cs="Arial"/>
        </w:rPr>
        <w:t xml:space="preserve"> an den Standorten Weiz und Melk</w:t>
      </w:r>
      <w:r>
        <w:t>.</w:t>
      </w:r>
      <w:bookmarkEnd w:id="258"/>
      <w:bookmarkEnd w:id="259"/>
    </w:p>
    <w:p w:rsidR="00E533E5" w:rsidRDefault="00E533E5" w:rsidP="00CD137E">
      <w:pPr>
        <w:pStyle w:val="Flietext"/>
        <w:jc w:val="both"/>
      </w:pPr>
      <w:r w:rsidRPr="00B87833">
        <w:t xml:space="preserve">Die </w:t>
      </w:r>
      <w:r w:rsidRPr="00711683">
        <w:rPr>
          <w:i/>
        </w:rPr>
        <w:t>S. rhizophila</w:t>
      </w:r>
      <w:r w:rsidRPr="00B87833">
        <w:t>-</w:t>
      </w:r>
      <w:r>
        <w:t>inokulierten Pflanzen</w:t>
      </w:r>
      <w:r w:rsidRPr="00B87833">
        <w:t xml:space="preserve"> ohne Fungizid in Weiz wiesen einen Mehrertrag von 5,0% auf, wenn auch ohne statistische Signifikanz. Als gelagert wurden die Pflanzen gewertet, die eine Neigung von mehr als 45° aufwiesen und damit maschinell nicht mehr geerntet werden können. Obwohl die Anzahl der gelagerten Pflanzen sehr stark schwankte und die Daten nicht statistisch auswertbar waren, konnte eine tendenzielle Reduktion der Lagerung um den Faktor 2-3 festgestellt werden.</w:t>
      </w:r>
    </w:p>
    <w:p w:rsidR="00E533E5" w:rsidRPr="00901E00" w:rsidRDefault="00E533E5" w:rsidP="00CD137E">
      <w:pPr>
        <w:pStyle w:val="Flietext"/>
        <w:jc w:val="both"/>
      </w:pPr>
      <w:r w:rsidRPr="00B87833">
        <w:t xml:space="preserve">Im Vergleich zum Jahr 2015 wurde für die Saison 2016 das Feldversuchsdesign um einen Standort </w:t>
      </w:r>
      <w:r>
        <w:t xml:space="preserve">in Reichersberg (Oberösterreich) </w:t>
      </w:r>
      <w:r w:rsidRPr="00B87833">
        <w:t xml:space="preserve">erweitert. </w:t>
      </w:r>
      <w:r>
        <w:t xml:space="preserve">Bis auf den Verzicht auf die Varianten ohne die Anwendung von „MAXIM“ entsprach die Versuchsanstellung die des Jahres 2015. An allen drei Standorten wurden die Parameter Aufgangsrate, Frischgewicht der Jungpflanzen drei Wochen nach Aussaat sowie das Erntegewicht zur Bewertung des Effekts der Inokulation mit </w:t>
      </w:r>
      <w:r w:rsidRPr="00F64D96">
        <w:rPr>
          <w:i/>
        </w:rPr>
        <w:t xml:space="preserve">S. </w:t>
      </w:r>
      <w:r w:rsidRPr="000E7FDF">
        <w:rPr>
          <w:i/>
        </w:rPr>
        <w:t>rhizophila</w:t>
      </w:r>
      <w:r w:rsidRPr="000E7FDF">
        <w:t xml:space="preserve"> herangezogen und in den Abbildungen 5-7 zusammengefasst. Aufgrund des fehlenden bzw. geringen Befallsdruck durch den Maiswurzelbohrer wurden keine Diabrotica-spezifische Schäden erfasst. An zwei der drei Versuchsstandorte konnte nach drei Wochen eine tendenzielle Erhöhung der Auflaufrate von 3,1% (Mitterdorf, Abbildung </w:t>
      </w:r>
      <w:r w:rsidR="00CD137E" w:rsidRPr="000E7FDF">
        <w:t>56</w:t>
      </w:r>
      <w:r w:rsidRPr="000E7FDF">
        <w:t xml:space="preserve">) bzw. 3,3% (Reichersberg, Abbildung 6) nach der Behandlung mit </w:t>
      </w:r>
      <w:r w:rsidRPr="000E7FDF">
        <w:rPr>
          <w:i/>
        </w:rPr>
        <w:t>S. rhizophila</w:t>
      </w:r>
      <w:r w:rsidRPr="000E7FDF">
        <w:t xml:space="preserve"> festgestellt werden. Bezüglich des</w:t>
      </w:r>
      <w:r>
        <w:t xml:space="preserve"> Frischgewichts der Maispflanzen nach drei Wochen wiesen die </w:t>
      </w:r>
      <w:r w:rsidRPr="00F64D96">
        <w:rPr>
          <w:i/>
        </w:rPr>
        <w:t>S. rhizophila</w:t>
      </w:r>
      <w:r w:rsidRPr="00F64D96">
        <w:t xml:space="preserve"> </w:t>
      </w:r>
      <w:r>
        <w:t>-behandelten Varianten in Reichersberg und Melk statistisch signifikant höhere Werte auf (+13,6 bzw. +27,3%). Gegenüber den nicht inokulierten Pflanzen erhöhte sich der Ernteertrag durch die Anwendung des Bakteriums an allen drei Standorten um 6,0 bis 8,6%, wobei die Ertragssteigerung in Mitterdorf und Reichersberg auf statistisch signi</w:t>
      </w:r>
      <w:r w:rsidR="00CD137E">
        <w:t>fikantem Niveau (p ≤ 0,05) lag.</w:t>
      </w:r>
    </w:p>
    <w:p w:rsidR="00E533E5" w:rsidRDefault="00E533E5" w:rsidP="00E533E5">
      <w:pPr>
        <w:pStyle w:val="Beschriftung"/>
      </w:pPr>
      <w:r>
        <w:rPr>
          <w:noProof/>
          <w:lang w:eastAsia="de-AT"/>
        </w:rPr>
        <w:drawing>
          <wp:inline distT="0" distB="0" distL="0" distR="0" wp14:anchorId="374FAB03" wp14:editId="066065B7">
            <wp:extent cx="4064000" cy="2449029"/>
            <wp:effectExtent l="0" t="0" r="0" b="8890"/>
            <wp:docPr id="34" name="Grafik 34" title="Relativer Effekt der Behandlung mit S. rhizophila auf Saataufg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064000" cy="2449029"/>
                    </a:xfrm>
                    <a:prstGeom prst="rect">
                      <a:avLst/>
                    </a:prstGeom>
                    <a:noFill/>
                  </pic:spPr>
                </pic:pic>
              </a:graphicData>
            </a:graphic>
          </wp:inline>
        </w:drawing>
      </w:r>
    </w:p>
    <w:p w:rsidR="00E533E5" w:rsidRDefault="00E533E5" w:rsidP="00E533E5">
      <w:pPr>
        <w:pStyle w:val="Beschriftung"/>
      </w:pPr>
      <w:bookmarkStart w:id="260" w:name="_Toc532525909"/>
      <w:bookmarkStart w:id="261" w:name="_Toc7715444"/>
      <w:r>
        <w:t xml:space="preserve">Abbildung </w:t>
      </w:r>
      <w:fldSimple w:instr=" SEQ Abbildung \* ARABIC ">
        <w:r w:rsidR="00CD137E">
          <w:rPr>
            <w:noProof/>
          </w:rPr>
          <w:t>56</w:t>
        </w:r>
      </w:fldSimple>
      <w:r>
        <w:t>: Versuchsjahr 2016:</w:t>
      </w:r>
      <w:r w:rsidRPr="0076031B">
        <w:t xml:space="preserve"> Relativer Effekt der Behandlung mit S. rhizophila auf Saataufgang und Frischgewicht drei Wochen nach Aussaat sowie auf das Erntegewicht am Standort Mitterdorf a.d. Raab, Steiermark.</w:t>
      </w:r>
      <w:bookmarkEnd w:id="260"/>
      <w:bookmarkEnd w:id="261"/>
    </w:p>
    <w:p w:rsidR="00E533E5" w:rsidRDefault="00E533E5" w:rsidP="00CD137E">
      <w:pPr>
        <w:pStyle w:val="Flietext"/>
        <w:jc w:val="both"/>
      </w:pPr>
      <w:r w:rsidRPr="00711683">
        <w:t>Da die Applikation des Bakteriums mittels Infiltration für die Praxis im Maisanba</w:t>
      </w:r>
      <w:r>
        <w:t>u nicht geeignet ist, wurde 2017</w:t>
      </w:r>
      <w:r w:rsidRPr="00711683">
        <w:t xml:space="preserve"> eine formulierte Variante von </w:t>
      </w:r>
      <w:r w:rsidRPr="00F64D96">
        <w:rPr>
          <w:i/>
        </w:rPr>
        <w:t>S. rhizophila</w:t>
      </w:r>
      <w:r w:rsidRPr="00F64D96">
        <w:t xml:space="preserve"> </w:t>
      </w:r>
      <w:r w:rsidRPr="00711683">
        <w:t>integriert, die für konventionelle Techniken der Saa</w:t>
      </w:r>
      <w:r w:rsidR="00CD137E">
        <w:t xml:space="preserve">tgutbeschichtung geeignet ist. </w:t>
      </w:r>
      <w:r>
        <w:t>Die Versuchsreihe 2017 wurde auf fünf Standorte ausgeweitet, um die Konsistenz der Effekte unter verschiedenen Boden- und Klimabedingungen zu prüfen bzw. um die Wahrscheinlichkeit eine Maiswurzelbohrerbefalls zu erhöhen. Mit der Verwendung einer zweiten Maissorte (</w:t>
      </w:r>
      <w:r w:rsidRPr="00493FDD">
        <w:t>LG30</w:t>
      </w:r>
      <w:r w:rsidRPr="000E7FDF">
        <w:t xml:space="preserve">.273) wurde der Versuch um eine zusätzliche Variation ergänzt, mit der ein möglicher Sorten-spezifischer Effekt nachweisbar wäre. Das Feldversuchsdesign entsprach dem der Jahre 2015 und 2016. Die Evaluierung der Wirkung von </w:t>
      </w:r>
      <w:r w:rsidRPr="000E7FDF">
        <w:rPr>
          <w:i/>
        </w:rPr>
        <w:t>S. rhizophila</w:t>
      </w:r>
      <w:r w:rsidRPr="000E7FDF">
        <w:t xml:space="preserve"> des Versuches erfolgte zum Zeitpunkt der Ernte auf Basis des Anteils gelagerter Pflanzen sowie des Ernteertrages (Abbildungen </w:t>
      </w:r>
      <w:r w:rsidR="00CD137E" w:rsidRPr="000E7FDF">
        <w:t>59 - 60</w:t>
      </w:r>
      <w:r w:rsidRPr="000E7FDF">
        <w:t xml:space="preserve">). Unabhängig vom Standort und Maissorte wiesen die inokulierten Varianten einen Mehrertrag auf, der zwischen 1,6 und 8,8% lag (Abbildung </w:t>
      </w:r>
      <w:r w:rsidR="00CD137E" w:rsidRPr="000E7FDF">
        <w:t>59</w:t>
      </w:r>
      <w:r w:rsidRPr="000E7FDF">
        <w:t xml:space="preserve">). Ähnlich Standort- und Sorten-übergreifend zeigten die behandelten Maispflanzen eine deutlich geringere Lager-Tendenz (Abbildung </w:t>
      </w:r>
      <w:r w:rsidR="00CD137E" w:rsidRPr="000E7FDF">
        <w:t>60</w:t>
      </w:r>
      <w:r w:rsidRPr="000E7FDF">
        <w:t>). Der Vergleich</w:t>
      </w:r>
      <w:r>
        <w:t xml:space="preserve"> der Ergebnisse deutet darauf hin, dass der Effekt von </w:t>
      </w:r>
      <w:r w:rsidRPr="00714877">
        <w:rPr>
          <w:i/>
        </w:rPr>
        <w:t>S. rhizophila</w:t>
      </w:r>
      <w:r>
        <w:t xml:space="preserve"> an der Sorte LG30273 stärker ausgeprägt ist und lässt auf eine Sortenspezifität schließen.</w:t>
      </w:r>
    </w:p>
    <w:p w:rsidR="00E533E5" w:rsidRPr="00901E00" w:rsidRDefault="00E533E5" w:rsidP="00E533E5">
      <w:pPr>
        <w:pStyle w:val="Flietext"/>
      </w:pPr>
    </w:p>
    <w:p w:rsidR="00E533E5" w:rsidRDefault="00E533E5" w:rsidP="00E533E5">
      <w:pPr>
        <w:pStyle w:val="Beschriftung"/>
      </w:pPr>
      <w:r>
        <w:rPr>
          <w:noProof/>
          <w:lang w:eastAsia="de-AT"/>
        </w:rPr>
        <w:drawing>
          <wp:inline distT="0" distB="0" distL="0" distR="0" wp14:anchorId="3B2AC5DE" wp14:editId="72F5ABD0">
            <wp:extent cx="3784600" cy="2269720"/>
            <wp:effectExtent l="0" t="0" r="6350" b="0"/>
            <wp:docPr id="35" name="Grafik 35" title="Eff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92409" cy="2274403"/>
                    </a:xfrm>
                    <a:prstGeom prst="rect">
                      <a:avLst/>
                    </a:prstGeom>
                    <a:noFill/>
                  </pic:spPr>
                </pic:pic>
              </a:graphicData>
            </a:graphic>
          </wp:inline>
        </w:drawing>
      </w:r>
    </w:p>
    <w:p w:rsidR="00E533E5" w:rsidRDefault="00E533E5" w:rsidP="00E533E5">
      <w:pPr>
        <w:pStyle w:val="Beschriftung"/>
      </w:pPr>
      <w:bookmarkStart w:id="262" w:name="_Toc532525910"/>
      <w:bookmarkStart w:id="263" w:name="_Toc7715445"/>
      <w:r>
        <w:t xml:space="preserve">Abbildung </w:t>
      </w:r>
      <w:fldSimple w:instr=" SEQ Abbildung \* ARABIC ">
        <w:r w:rsidR="00CD137E">
          <w:rPr>
            <w:noProof/>
          </w:rPr>
          <w:t>57</w:t>
        </w:r>
      </w:fldSimple>
      <w:r>
        <w:t>: Versuchsjahr 2016:</w:t>
      </w:r>
      <w:r w:rsidRPr="0076031B">
        <w:t xml:space="preserve"> Relativer Effekt der Behandlung mit S. rhizophila auf Saataufgang und Frischgewicht drei Wochen nach Aussaat sowie auf das Erntegewicht am Standort Reichersberg, Oberösterreich.</w:t>
      </w:r>
      <w:bookmarkEnd w:id="262"/>
      <w:bookmarkEnd w:id="263"/>
    </w:p>
    <w:p w:rsidR="00E533E5" w:rsidRDefault="00E533E5" w:rsidP="00E533E5">
      <w:pPr>
        <w:pStyle w:val="Flietext"/>
      </w:pPr>
    </w:p>
    <w:p w:rsidR="00E533E5" w:rsidRDefault="00E533E5" w:rsidP="00E533E5">
      <w:pPr>
        <w:pStyle w:val="Beschriftung"/>
      </w:pPr>
      <w:r>
        <w:rPr>
          <w:noProof/>
          <w:lang w:eastAsia="de-AT"/>
        </w:rPr>
        <w:drawing>
          <wp:inline distT="0" distB="0" distL="0" distR="0" wp14:anchorId="55CD466B" wp14:editId="3F135A74">
            <wp:extent cx="3752850" cy="2249442"/>
            <wp:effectExtent l="0" t="0" r="0" b="0"/>
            <wp:docPr id="36" name="Grafik 36" title="Relativer Effekt der Behandlung mit S. rhiziphila auf Saataufgang und Frischgewicht drei Wochen nach Aussa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58838" cy="2253031"/>
                    </a:xfrm>
                    <a:prstGeom prst="rect">
                      <a:avLst/>
                    </a:prstGeom>
                    <a:noFill/>
                  </pic:spPr>
                </pic:pic>
              </a:graphicData>
            </a:graphic>
          </wp:inline>
        </w:drawing>
      </w:r>
    </w:p>
    <w:p w:rsidR="00E533E5" w:rsidRPr="00901E00" w:rsidRDefault="00E533E5" w:rsidP="00CD137E">
      <w:pPr>
        <w:pStyle w:val="Beschriftung"/>
      </w:pPr>
      <w:bookmarkStart w:id="264" w:name="_Toc532525911"/>
      <w:bookmarkStart w:id="265" w:name="_Toc7715446"/>
      <w:r>
        <w:t xml:space="preserve">Abbildung </w:t>
      </w:r>
      <w:fldSimple w:instr=" SEQ Abbildung \* ARABIC ">
        <w:r w:rsidR="00CD137E">
          <w:rPr>
            <w:noProof/>
          </w:rPr>
          <w:t>58</w:t>
        </w:r>
      </w:fldSimple>
      <w:r>
        <w:t>: Versuchsjahr 2016:</w:t>
      </w:r>
      <w:r w:rsidRPr="0076031B">
        <w:t xml:space="preserve"> Relativer Effekt der Behandlung mit S. rhizophila auf Saataufgang und Frischgewicht drei Wochen nach Aussaat sowie auf das Erntegewicht am Standort Melk, Niederösterreich.</w:t>
      </w:r>
      <w:bookmarkEnd w:id="264"/>
      <w:bookmarkEnd w:id="265"/>
      <w:r w:rsidR="00CD137E">
        <w:t xml:space="preserve"> </w:t>
      </w:r>
    </w:p>
    <w:p w:rsidR="00E533E5" w:rsidRDefault="00E533E5" w:rsidP="00E533E5">
      <w:pPr>
        <w:pStyle w:val="Beschriftung"/>
      </w:pPr>
      <w:r>
        <w:rPr>
          <w:noProof/>
          <w:lang w:eastAsia="de-AT"/>
        </w:rPr>
        <w:drawing>
          <wp:inline distT="0" distB="0" distL="0" distR="0" wp14:anchorId="6481D6FA" wp14:editId="64210F8E">
            <wp:extent cx="3721100" cy="2254767"/>
            <wp:effectExtent l="0" t="0" r="0" b="0"/>
            <wp:docPr id="37" name="Grafik 37" title="Eff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54401" cy="2274946"/>
                    </a:xfrm>
                    <a:prstGeom prst="rect">
                      <a:avLst/>
                    </a:prstGeom>
                    <a:noFill/>
                  </pic:spPr>
                </pic:pic>
              </a:graphicData>
            </a:graphic>
          </wp:inline>
        </w:drawing>
      </w:r>
    </w:p>
    <w:p w:rsidR="00E533E5" w:rsidRPr="00901E00" w:rsidRDefault="00E533E5" w:rsidP="00E533E5">
      <w:pPr>
        <w:pStyle w:val="Beschriftung"/>
      </w:pPr>
      <w:bookmarkStart w:id="266" w:name="_Toc532525912"/>
      <w:bookmarkStart w:id="267" w:name="_Toc7715447"/>
      <w:r>
        <w:t xml:space="preserve">Abbildung </w:t>
      </w:r>
      <w:fldSimple w:instr=" SEQ Abbildung \* ARABIC ">
        <w:r w:rsidR="00CD137E">
          <w:rPr>
            <w:noProof/>
          </w:rPr>
          <w:t>59</w:t>
        </w:r>
      </w:fldSimple>
      <w:r>
        <w:t>: Versuchsjahr 2017:</w:t>
      </w:r>
      <w:r w:rsidRPr="0076031B">
        <w:t xml:space="preserve"> Relativer Effekt der Behandlung </w:t>
      </w:r>
      <w:r>
        <w:t xml:space="preserve">der Maissorten LG32.58 und LG30.273 </w:t>
      </w:r>
      <w:r w:rsidRPr="0076031B">
        <w:t xml:space="preserve">mit S. rhizophila </w:t>
      </w:r>
      <w:r>
        <w:t>auf das Erntegewicht an</w:t>
      </w:r>
      <w:r w:rsidRPr="0076031B">
        <w:t xml:space="preserve"> </w:t>
      </w:r>
      <w:r>
        <w:t>fünf Standorten</w:t>
      </w:r>
      <w:r w:rsidRPr="0076031B">
        <w:t>.</w:t>
      </w:r>
      <w:bookmarkEnd w:id="266"/>
      <w:bookmarkEnd w:id="267"/>
    </w:p>
    <w:p w:rsidR="00E533E5" w:rsidRDefault="00E533E5" w:rsidP="00E533E5">
      <w:pPr>
        <w:pStyle w:val="Beschriftung"/>
      </w:pPr>
      <w:r>
        <w:rPr>
          <w:noProof/>
          <w:lang w:eastAsia="de-AT"/>
        </w:rPr>
        <w:drawing>
          <wp:inline distT="0" distB="0" distL="0" distR="0" wp14:anchorId="635EB983" wp14:editId="43FFCB41">
            <wp:extent cx="3930650" cy="2384682"/>
            <wp:effectExtent l="0" t="0" r="0" b="0"/>
            <wp:docPr id="38" name="Grafik 38" title="Eff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941963" cy="2391546"/>
                    </a:xfrm>
                    <a:prstGeom prst="rect">
                      <a:avLst/>
                    </a:prstGeom>
                    <a:noFill/>
                  </pic:spPr>
                </pic:pic>
              </a:graphicData>
            </a:graphic>
          </wp:inline>
        </w:drawing>
      </w:r>
    </w:p>
    <w:p w:rsidR="00E533E5" w:rsidRDefault="00E533E5" w:rsidP="00E533E5">
      <w:pPr>
        <w:pStyle w:val="Beschriftung"/>
      </w:pPr>
      <w:bookmarkStart w:id="268" w:name="_Toc532525913"/>
      <w:bookmarkStart w:id="269" w:name="_Toc7715448"/>
      <w:r>
        <w:t xml:space="preserve">Abbildung </w:t>
      </w:r>
      <w:fldSimple w:instr=" SEQ Abbildung \* ARABIC ">
        <w:r w:rsidR="00CD137E">
          <w:rPr>
            <w:noProof/>
          </w:rPr>
          <w:t>60</w:t>
        </w:r>
      </w:fldSimple>
      <w:r>
        <w:t>: Versuchsjahr 2017:</w:t>
      </w:r>
      <w:r w:rsidRPr="0076031B">
        <w:t xml:space="preserve"> Relativer Effekt der Behandlung </w:t>
      </w:r>
      <w:r>
        <w:t xml:space="preserve">der Maissorten LG32.58 und LG30.273 </w:t>
      </w:r>
      <w:r w:rsidRPr="0076031B">
        <w:t xml:space="preserve">mit S. rhizophila </w:t>
      </w:r>
      <w:r>
        <w:t>auf den Anteil gelagerten Pflanzen an</w:t>
      </w:r>
      <w:r w:rsidRPr="0076031B">
        <w:t xml:space="preserve"> </w:t>
      </w:r>
      <w:r>
        <w:t>fünf Standorten (o.B.=ohne Befall)</w:t>
      </w:r>
      <w:r w:rsidRPr="0076031B">
        <w:t>.</w:t>
      </w:r>
      <w:bookmarkEnd w:id="268"/>
      <w:bookmarkEnd w:id="269"/>
    </w:p>
    <w:p w:rsidR="00386C0E" w:rsidRDefault="00386C0E" w:rsidP="001C7150">
      <w:pPr>
        <w:pStyle w:val="Flietext"/>
      </w:pPr>
    </w:p>
    <w:p w:rsidR="00386C0E" w:rsidRDefault="00386C0E" w:rsidP="00DF038A">
      <w:pPr>
        <w:pStyle w:val="berschrift118pt"/>
        <w:numPr>
          <w:ilvl w:val="0"/>
          <w:numId w:val="11"/>
        </w:numPr>
      </w:pPr>
      <w:bookmarkStart w:id="270" w:name="_Toc7715612"/>
      <w:r>
        <w:t>kombinationsversuch</w:t>
      </w:r>
      <w:r w:rsidR="00556D3B">
        <w:t xml:space="preserve"> in dedenitz (steiermark)</w:t>
      </w:r>
      <w:bookmarkEnd w:id="270"/>
    </w:p>
    <w:p w:rsidR="00556D3B" w:rsidRPr="0076031B" w:rsidRDefault="00556D3B" w:rsidP="00556D3B">
      <w:pPr>
        <w:pStyle w:val="Flietext"/>
      </w:pPr>
    </w:p>
    <w:p w:rsidR="00556D3B" w:rsidRPr="002013FE" w:rsidRDefault="00556D3B" w:rsidP="00CD137E">
      <w:pPr>
        <w:pStyle w:val="Flietext"/>
        <w:ind w:firstLine="680"/>
        <w:jc w:val="both"/>
      </w:pPr>
      <w:r w:rsidRPr="002013FE">
        <w:t>Basierend auf das mit Juli 2015 beendete Ökoinnovationsprojekt INBIOSOIL (FP7_ENV.2011.</w:t>
      </w:r>
      <w:r w:rsidRPr="002013FE">
        <w:br/>
        <w:t>3.19, Agreement No 282767), welches Wirksamkeitsstudien über eine Projektlaufzeit von drei Jahren durchgeführt hat, wurden für die Kombinationsversuche 2018 wiederum Versuchsflächen am Versu</w:t>
      </w:r>
      <w:r w:rsidR="003332FD">
        <w:t>chsstandort Dedenitz ausgewählt.</w:t>
      </w:r>
    </w:p>
    <w:p w:rsidR="00556D3B" w:rsidRPr="002013FE" w:rsidRDefault="00556D3B" w:rsidP="009401E2">
      <w:pPr>
        <w:pStyle w:val="1Unterkapitel"/>
        <w:rPr>
          <w:lang w:eastAsia="it-IT"/>
        </w:rPr>
      </w:pPr>
      <w:bookmarkStart w:id="271" w:name="_Toc532311613"/>
      <w:bookmarkStart w:id="272" w:name="_Toc7715613"/>
      <w:r w:rsidRPr="002013FE">
        <w:t>Versuchsstandorte</w:t>
      </w:r>
      <w:bookmarkEnd w:id="271"/>
      <w:bookmarkEnd w:id="272"/>
    </w:p>
    <w:p w:rsidR="00556D3B" w:rsidRPr="002013FE" w:rsidRDefault="00556D3B" w:rsidP="00BA0E61">
      <w:pPr>
        <w:pStyle w:val="Flietext"/>
        <w:jc w:val="both"/>
        <w:rPr>
          <w:rFonts w:ascii="MetaCorr" w:eastAsia="Times New Roman" w:hAnsi="MetaCorr"/>
          <w:sz w:val="24"/>
          <w:szCs w:val="24"/>
        </w:rPr>
      </w:pPr>
      <w:r w:rsidRPr="002013FE">
        <w:t xml:space="preserve">Die </w:t>
      </w:r>
      <w:r w:rsidRPr="000E7FDF">
        <w:t xml:space="preserve">Wirksamkeitsstudien wurden im Maisanbaugebiet der Gemeinde Dedenitz (Bezirk Bad Radkersburg) auf den </w:t>
      </w:r>
      <w:r w:rsidRPr="000E7FDF">
        <w:rPr>
          <w:lang w:eastAsia="en-GB"/>
        </w:rPr>
        <w:t xml:space="preserve">Ackerflächen Siloacker (Feld 1), Gomboc (Feld 2) und Langacker (Feld 3) </w:t>
      </w:r>
      <w:r w:rsidRPr="000E7FDF">
        <w:t xml:space="preserve">durchgeführt (Besitzer Ing. A. Jost, Abbildung </w:t>
      </w:r>
      <w:r w:rsidR="007A30CF" w:rsidRPr="000E7FDF">
        <w:t>61 und 62</w:t>
      </w:r>
      <w:r w:rsidRPr="000E7FDF">
        <w:t>). Die Versuchsparzellen wurden am 13. April 2018 mit der Maissorte „FarariXX von RAGAT RZ 380“, und die Mantelparzellen</w:t>
      </w:r>
      <w:r w:rsidRPr="002013FE">
        <w:t xml:space="preserve"> mit „51G von Maisatour RZ 430“ belegt. Gedüngt wurde am 12. April 2018 mit </w:t>
      </w:r>
      <w:r>
        <w:t>15 m</w:t>
      </w:r>
      <w:r w:rsidRPr="00377CE9">
        <w:rPr>
          <w:vertAlign w:val="superscript"/>
        </w:rPr>
        <w:t>3</w:t>
      </w:r>
      <w:r>
        <w:t xml:space="preserve"> ha</w:t>
      </w:r>
      <w:r w:rsidRPr="00D0740A">
        <w:rPr>
          <w:vertAlign w:val="superscript"/>
        </w:rPr>
        <w:t>-1</w:t>
      </w:r>
      <w:r>
        <w:t xml:space="preserve"> </w:t>
      </w:r>
      <w:r w:rsidRPr="002013FE">
        <w:t>Biogasgüllen und am 2. Juni wurde mit dem Mais-S</w:t>
      </w:r>
      <w:r>
        <w:t>tickstoffdünger (100 kg ha</w:t>
      </w:r>
      <w:r w:rsidRPr="00D0740A">
        <w:rPr>
          <w:vertAlign w:val="superscript"/>
        </w:rPr>
        <w:t>-1</w:t>
      </w:r>
      <w:r>
        <w:t xml:space="preserve"> </w:t>
      </w:r>
      <w:r w:rsidRPr="002013FE">
        <w:t>NAC). Routinemäßig wurde am 1. Mai das flüssige Maisherbizid Adengo</w:t>
      </w:r>
      <w:r w:rsidRPr="002013FE">
        <w:rPr>
          <w:vertAlign w:val="superscript"/>
        </w:rPr>
        <w:t>®</w:t>
      </w:r>
      <w:r w:rsidRPr="002013FE">
        <w:t xml:space="preserve"> (0,44 L ha</w:t>
      </w:r>
      <w:r w:rsidRPr="002013FE">
        <w:rPr>
          <w:vertAlign w:val="superscript"/>
        </w:rPr>
        <w:t>-1</w:t>
      </w:r>
      <w:r w:rsidRPr="002013FE">
        <w:t>) gegen Unkräuter und Ungräser eingesetzt. Seit 2009 konnte an diesen Standorten eine Käfe</w:t>
      </w:r>
      <w:r>
        <w:t>rf</w:t>
      </w:r>
      <w:r w:rsidRPr="002013FE">
        <w:t xml:space="preserve">angzahl von weit über 1.000 </w:t>
      </w:r>
      <w:r w:rsidRPr="002013FE">
        <w:rPr>
          <w:i/>
        </w:rPr>
        <w:t>Diabrotica</w:t>
      </w:r>
      <w:r w:rsidRPr="002013FE">
        <w:t xml:space="preserve">-Käfer pro Pheromonfalle und Saison ermittelt werden. Aufgrund der hohen Befallsdichte konnte auf eine künstliche </w:t>
      </w:r>
      <w:r w:rsidRPr="002013FE">
        <w:rPr>
          <w:i/>
        </w:rPr>
        <w:t xml:space="preserve">Diabrotica </w:t>
      </w:r>
      <w:r w:rsidRPr="002013FE">
        <w:t>– Infektion in den Versuchsfeldern verzichtet werden.</w:t>
      </w:r>
      <w:r w:rsidR="00BA0E61" w:rsidRPr="002013FE">
        <w:rPr>
          <w:rFonts w:ascii="MetaCorr" w:eastAsia="Times New Roman" w:hAnsi="MetaCorr"/>
          <w:sz w:val="24"/>
          <w:szCs w:val="24"/>
        </w:rPr>
        <w:t xml:space="preserve"> </w:t>
      </w:r>
    </w:p>
    <w:p w:rsidR="00556D3B" w:rsidRPr="002013FE" w:rsidRDefault="00556D3B" w:rsidP="00556D3B">
      <w:pPr>
        <w:keepNext/>
        <w:tabs>
          <w:tab w:val="left" w:pos="3119"/>
        </w:tabs>
        <w:spacing w:after="200"/>
        <w:ind w:left="709"/>
        <w:jc w:val="center"/>
        <w:rPr>
          <w:rFonts w:eastAsia="Times New Roman"/>
          <w:b/>
          <w:bCs/>
          <w:color w:val="000000"/>
          <w:sz w:val="18"/>
          <w:szCs w:val="18"/>
        </w:rPr>
      </w:pPr>
      <w:r w:rsidRPr="002013FE">
        <w:rPr>
          <w:rFonts w:eastAsia="Times New Roman"/>
          <w:bCs/>
          <w:i/>
          <w:noProof/>
          <w:color w:val="000000"/>
          <w:sz w:val="18"/>
          <w:szCs w:val="18"/>
          <w:lang w:eastAsia="de-AT"/>
        </w:rPr>
        <mc:AlternateContent>
          <mc:Choice Requires="wps">
            <w:drawing>
              <wp:anchor distT="0" distB="0" distL="114300" distR="114300" simplePos="0" relativeHeight="251554304" behindDoc="0" locked="0" layoutInCell="1" allowOverlap="1" wp14:anchorId="47254F56" wp14:editId="7D615E18">
                <wp:simplePos x="0" y="0"/>
                <wp:positionH relativeFrom="column">
                  <wp:posOffset>8451850</wp:posOffset>
                </wp:positionH>
                <wp:positionV relativeFrom="paragraph">
                  <wp:posOffset>2924810</wp:posOffset>
                </wp:positionV>
                <wp:extent cx="63500" cy="317500"/>
                <wp:effectExtent l="57150" t="38100" r="50800" b="63500"/>
                <wp:wrapNone/>
                <wp:docPr id="54" name="Gerade Verbindung mit Pfeil 54" title="Versuchsflächen Kombinationsversuch"/>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500" cy="31750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5CDA49A0" id="_x0000_t32" coordsize="21600,21600" o:spt="32" o:oned="t" path="m,l21600,21600e" filled="f">
                <v:path arrowok="t" fillok="f" o:connecttype="none"/>
                <o:lock v:ext="edit" shapetype="t"/>
              </v:shapetype>
              <v:shape id="Gerade Verbindung mit Pfeil 54" o:spid="_x0000_s1026" type="#_x0000_t32" alt="Titel: Versuchsflächen Kombinationsversuch" style="position:absolute;margin-left:665.5pt;margin-top:230.3pt;width:5pt;height:25pt;flip:y;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" strokecolor="windowText" strokeweight=".5pt">
                <v:stroke startarrow="block" endarrow="block" joinstyle="miter"/>
                <o:lock v:ext="edit" shapetype="f"/>
              </v:shape>
            </w:pict>
          </mc:Fallback>
        </mc:AlternateContent>
      </w:r>
      <w:r w:rsidRPr="002013FE">
        <w:rPr>
          <w:rFonts w:eastAsia="Times New Roman"/>
          <w:bCs/>
          <w:i/>
          <w:noProof/>
          <w:color w:val="000000"/>
          <w:sz w:val="18"/>
          <w:szCs w:val="18"/>
          <w:lang w:eastAsia="de-AT"/>
        </w:rPr>
        <mc:AlternateContent>
          <mc:Choice Requires="wps">
            <w:drawing>
              <wp:anchor distT="0" distB="0" distL="114300" distR="114300" simplePos="0" relativeHeight="251544064" behindDoc="0" locked="0" layoutInCell="1" allowOverlap="1" wp14:anchorId="1B63C657" wp14:editId="5DBCC89A">
                <wp:simplePos x="0" y="0"/>
                <wp:positionH relativeFrom="column">
                  <wp:posOffset>8451850</wp:posOffset>
                </wp:positionH>
                <wp:positionV relativeFrom="paragraph">
                  <wp:posOffset>2924810</wp:posOffset>
                </wp:positionV>
                <wp:extent cx="63500" cy="317500"/>
                <wp:effectExtent l="57150" t="38100" r="50800" b="63500"/>
                <wp:wrapNone/>
                <wp:docPr id="55" name="Gerade Verbindung mit Pfeil 55" title="Versuchsflächen Kombinationsversuch"/>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500" cy="31750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B2CD8DC" id="Gerade Verbindung mit Pfeil 55" o:spid="_x0000_s1026" type="#_x0000_t32" alt="Titel: Versuchsflächen Kombinationsversuch" style="position:absolute;margin-left:665.5pt;margin-top:230.3pt;width:5pt;height:25pt;flip:y;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" strokecolor="windowText" strokeweight=".5pt">
                <v:stroke startarrow="block" endarrow="block" joinstyle="miter"/>
                <o:lock v:ext="edit" shapetype="f"/>
              </v:shape>
            </w:pict>
          </mc:Fallback>
        </mc:AlternateContent>
      </w:r>
      <w:r w:rsidRPr="002013FE">
        <w:rPr>
          <w:rFonts w:eastAsia="Times New Roman"/>
          <w:b/>
          <w:bCs/>
          <w:noProof/>
          <w:color w:val="000000"/>
          <w:sz w:val="18"/>
          <w:szCs w:val="18"/>
          <w:lang w:eastAsia="de-AT"/>
        </w:rPr>
        <mc:AlternateContent>
          <mc:Choice Requires="wps">
            <w:drawing>
              <wp:anchor distT="45720" distB="45720" distL="114300" distR="114300" simplePos="0" relativeHeight="251523584" behindDoc="0" locked="0" layoutInCell="1" allowOverlap="1" wp14:anchorId="2E68A359" wp14:editId="7F4F5A48">
                <wp:simplePos x="0" y="0"/>
                <wp:positionH relativeFrom="column">
                  <wp:posOffset>146685</wp:posOffset>
                </wp:positionH>
                <wp:positionV relativeFrom="paragraph">
                  <wp:posOffset>80645</wp:posOffset>
                </wp:positionV>
                <wp:extent cx="742950" cy="485775"/>
                <wp:effectExtent l="1270" t="4445" r="0" b="0"/>
                <wp:wrapNone/>
                <wp:docPr id="56" name="Textfeld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48577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07C29" w:rsidRPr="00F678AD" w:rsidRDefault="00B07C29" w:rsidP="00556D3B">
                            <w:pPr>
                              <w:pStyle w:val="Flietext"/>
                            </w:pPr>
                            <w:r w:rsidRPr="00F678AD">
                              <w:t>Feld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68A359" id="Textfeld 56" o:spid="_x0000_s1027" type="#_x0000_t202" style="position:absolute;left:0;text-align:left;margin-left:11.55pt;margin-top:6.35pt;width:58.5pt;height:38.25pt;z-index:25152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" stroked="f">
                <v:textbox>
                  <w:txbxContent>
                    <w:p w:rsidR="00B07C29" w:rsidRPr="00F678AD" w:rsidRDefault="00B07C29" w:rsidP="00556D3B">
                      <w:pPr>
                        <w:pStyle w:val="Flietext"/>
                      </w:pPr>
                      <w:r w:rsidRPr="00F678AD">
                        <w:t>Feld 1</w:t>
                      </w:r>
                    </w:p>
                  </w:txbxContent>
                </v:textbox>
              </v:shape>
            </w:pict>
          </mc:Fallback>
        </mc:AlternateContent>
      </w:r>
      <w:r w:rsidRPr="002013FE">
        <w:rPr>
          <w:rFonts w:eastAsia="Times New Roman"/>
          <w:b/>
          <w:bCs/>
          <w:noProof/>
          <w:color w:val="000000"/>
          <w:sz w:val="18"/>
          <w:szCs w:val="18"/>
          <w:lang w:eastAsia="de-AT"/>
        </w:rPr>
        <w:drawing>
          <wp:inline distT="0" distB="0" distL="0" distR="0" wp14:anchorId="22476AE7" wp14:editId="28DCE53A">
            <wp:extent cx="3695700" cy="2524125"/>
            <wp:effectExtent l="0" t="0" r="0" b="9525"/>
            <wp:docPr id="27" name="Grafik 27" descr="Siloacker_24-07-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iloacker_24-07-2018"/>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3695700" cy="2524125"/>
                    </a:xfrm>
                    <a:prstGeom prst="rect">
                      <a:avLst/>
                    </a:prstGeom>
                    <a:noFill/>
                    <a:ln>
                      <a:noFill/>
                    </a:ln>
                  </pic:spPr>
                </pic:pic>
              </a:graphicData>
            </a:graphic>
          </wp:inline>
        </w:drawing>
      </w:r>
    </w:p>
    <w:p w:rsidR="00556D3B" w:rsidRPr="002013FE" w:rsidRDefault="00556D3B" w:rsidP="00556D3B">
      <w:pPr>
        <w:keepNext/>
        <w:tabs>
          <w:tab w:val="left" w:pos="3119"/>
        </w:tabs>
        <w:spacing w:after="200"/>
        <w:ind w:left="709"/>
        <w:jc w:val="center"/>
        <w:rPr>
          <w:rFonts w:eastAsia="Times New Roman"/>
          <w:b/>
          <w:bCs/>
          <w:color w:val="000000"/>
          <w:sz w:val="18"/>
          <w:szCs w:val="18"/>
        </w:rPr>
      </w:pPr>
      <w:r w:rsidRPr="002013FE">
        <w:rPr>
          <w:rFonts w:eastAsia="Times New Roman"/>
          <w:b/>
          <w:bCs/>
          <w:noProof/>
          <w:color w:val="000000"/>
          <w:sz w:val="18"/>
          <w:szCs w:val="18"/>
          <w:lang w:eastAsia="de-AT"/>
        </w:rPr>
        <mc:AlternateContent>
          <mc:Choice Requires="wps">
            <w:drawing>
              <wp:anchor distT="45720" distB="45720" distL="114300" distR="114300" simplePos="0" relativeHeight="251533824" behindDoc="0" locked="0" layoutInCell="1" allowOverlap="1" wp14:anchorId="3D52BC96" wp14:editId="2A198A27">
                <wp:simplePos x="0" y="0"/>
                <wp:positionH relativeFrom="column">
                  <wp:posOffset>146685</wp:posOffset>
                </wp:positionH>
                <wp:positionV relativeFrom="paragraph">
                  <wp:posOffset>67945</wp:posOffset>
                </wp:positionV>
                <wp:extent cx="742950" cy="485775"/>
                <wp:effectExtent l="1270" t="4445" r="0" b="0"/>
                <wp:wrapNone/>
                <wp:docPr id="57" name="Textfeld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48577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07C29" w:rsidRPr="00F678AD" w:rsidRDefault="00B07C29" w:rsidP="00556D3B">
                            <w:pPr>
                              <w:pStyle w:val="Flietext"/>
                            </w:pPr>
                            <w:r w:rsidRPr="00F678AD">
                              <w:t xml:space="preserve">Feld </w:t>
                            </w:r>
                            <w: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52BC96" id="Textfeld 57" o:spid="_x0000_s1028" type="#_x0000_t202" style="position:absolute;left:0;text-align:left;margin-left:11.55pt;margin-top:5.35pt;width:58.5pt;height:38.25pt;z-index:251533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" stroked="f">
                <v:textbox>
                  <w:txbxContent>
                    <w:p w:rsidR="00B07C29" w:rsidRPr="00F678AD" w:rsidRDefault="00B07C29" w:rsidP="00556D3B">
                      <w:pPr>
                        <w:pStyle w:val="Flietext"/>
                      </w:pPr>
                      <w:r w:rsidRPr="00F678AD">
                        <w:t xml:space="preserve">Feld </w:t>
                      </w:r>
                      <w:r>
                        <w:t>2</w:t>
                      </w:r>
                    </w:p>
                  </w:txbxContent>
                </v:textbox>
              </v:shape>
            </w:pict>
          </mc:Fallback>
        </mc:AlternateContent>
      </w:r>
      <w:r w:rsidRPr="002013FE">
        <w:rPr>
          <w:rFonts w:eastAsia="Times New Roman"/>
          <w:bCs/>
          <w:i/>
          <w:noProof/>
          <w:color w:val="000000"/>
          <w:sz w:val="18"/>
          <w:szCs w:val="18"/>
          <w:lang w:eastAsia="de-AT"/>
        </w:rPr>
        <w:drawing>
          <wp:inline distT="0" distB="0" distL="0" distR="0" wp14:anchorId="30D5D4D5" wp14:editId="1652C0FB">
            <wp:extent cx="3695700" cy="2676525"/>
            <wp:effectExtent l="0" t="0" r="0" b="9525"/>
            <wp:docPr id="9240" name="Grafik 9240" descr="Gomboc_24-07-18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omboc_24-07-18_2"/>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3695700" cy="2676525"/>
                    </a:xfrm>
                    <a:prstGeom prst="rect">
                      <a:avLst/>
                    </a:prstGeom>
                    <a:noFill/>
                    <a:ln>
                      <a:noFill/>
                    </a:ln>
                  </pic:spPr>
                </pic:pic>
              </a:graphicData>
            </a:graphic>
          </wp:inline>
        </w:drawing>
      </w:r>
    </w:p>
    <w:p w:rsidR="00556D3B" w:rsidRPr="002013FE" w:rsidRDefault="00556D3B" w:rsidP="00556D3B">
      <w:pPr>
        <w:keepNext/>
        <w:tabs>
          <w:tab w:val="left" w:pos="3119"/>
        </w:tabs>
        <w:spacing w:after="200"/>
        <w:ind w:left="709"/>
        <w:jc w:val="center"/>
        <w:rPr>
          <w:rFonts w:eastAsia="Times New Roman"/>
          <w:b/>
          <w:bCs/>
          <w:color w:val="000000"/>
          <w:sz w:val="18"/>
          <w:szCs w:val="18"/>
        </w:rPr>
      </w:pPr>
      <w:r w:rsidRPr="002013FE">
        <w:rPr>
          <w:rFonts w:eastAsia="Times New Roman"/>
          <w:b/>
          <w:bCs/>
          <w:noProof/>
          <w:color w:val="000000"/>
          <w:sz w:val="18"/>
          <w:szCs w:val="18"/>
          <w:lang w:eastAsia="de-AT"/>
        </w:rPr>
        <mc:AlternateContent>
          <mc:Choice Requires="wps">
            <w:drawing>
              <wp:anchor distT="45720" distB="45720" distL="114300" distR="114300" simplePos="0" relativeHeight="251513344" behindDoc="0" locked="0" layoutInCell="1" allowOverlap="1" wp14:anchorId="7FC2093D" wp14:editId="51E961DE">
                <wp:simplePos x="0" y="0"/>
                <wp:positionH relativeFrom="column">
                  <wp:posOffset>175260</wp:posOffset>
                </wp:positionH>
                <wp:positionV relativeFrom="paragraph">
                  <wp:posOffset>163195</wp:posOffset>
                </wp:positionV>
                <wp:extent cx="742950" cy="485775"/>
                <wp:effectExtent l="0" t="0" r="0" b="9525"/>
                <wp:wrapNone/>
                <wp:docPr id="58" name="Textfeld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48577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07C29" w:rsidRPr="00F678AD" w:rsidRDefault="00B07C29" w:rsidP="00556D3B">
                            <w:pPr>
                              <w:pStyle w:val="Flietext"/>
                            </w:pPr>
                            <w:r>
                              <w:t>Feld 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C2093D" id="Textfeld 58" o:spid="_x0000_s1029" type="#_x0000_t202" style="position:absolute;left:0;text-align:left;margin-left:13.8pt;margin-top:12.85pt;width:58.5pt;height:38.25pt;z-index:25151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" stroked="f">
                <v:textbox>
                  <w:txbxContent>
                    <w:p w:rsidR="00B07C29" w:rsidRPr="00F678AD" w:rsidRDefault="00B07C29" w:rsidP="00556D3B">
                      <w:pPr>
                        <w:pStyle w:val="Flietext"/>
                      </w:pPr>
                      <w:r>
                        <w:t>Feld 3</w:t>
                      </w:r>
                    </w:p>
                  </w:txbxContent>
                </v:textbox>
              </v:shape>
            </w:pict>
          </mc:Fallback>
        </mc:AlternateContent>
      </w:r>
      <w:r w:rsidRPr="002013FE">
        <w:rPr>
          <w:rFonts w:eastAsia="Times New Roman"/>
          <w:bCs/>
          <w:i/>
          <w:noProof/>
          <w:color w:val="000000"/>
          <w:sz w:val="18"/>
          <w:szCs w:val="18"/>
          <w:lang w:eastAsia="de-AT"/>
        </w:rPr>
        <w:drawing>
          <wp:inline distT="0" distB="0" distL="0" distR="0" wp14:anchorId="015C7378" wp14:editId="52C672B2">
            <wp:extent cx="3695700" cy="1885950"/>
            <wp:effectExtent l="0" t="0" r="0" b="0"/>
            <wp:docPr id="9241" name="Grafik 9241" descr="Langacker_24-07-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ngacker_24-07-2018"/>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3695700" cy="1885950"/>
                    </a:xfrm>
                    <a:prstGeom prst="rect">
                      <a:avLst/>
                    </a:prstGeom>
                    <a:noFill/>
                    <a:ln>
                      <a:noFill/>
                    </a:ln>
                  </pic:spPr>
                </pic:pic>
              </a:graphicData>
            </a:graphic>
          </wp:inline>
        </w:drawing>
      </w:r>
    </w:p>
    <w:p w:rsidR="00556D3B" w:rsidRPr="002013FE" w:rsidRDefault="00556D3B" w:rsidP="00556D3B">
      <w:pPr>
        <w:pStyle w:val="Beschriftung"/>
      </w:pPr>
      <w:bookmarkStart w:id="273" w:name="_Toc532311575"/>
      <w:bookmarkStart w:id="274" w:name="_Toc7715449"/>
      <w:r>
        <w:t xml:space="preserve">Abbildung </w:t>
      </w:r>
      <w:fldSimple w:instr=" SEQ Abbildung \* ARABIC ">
        <w:r w:rsidR="007A30CF">
          <w:rPr>
            <w:noProof/>
          </w:rPr>
          <w:t>61</w:t>
        </w:r>
      </w:fldSimple>
      <w:r>
        <w:t>:</w:t>
      </w:r>
      <w:r w:rsidRPr="002013FE">
        <w:t xml:space="preserve"> Versuchsflächen Feld 1 / Siloacker, Feld 2 Gomboc und Feld 3 / Langacker (Fischer ©)</w:t>
      </w:r>
      <w:bookmarkEnd w:id="273"/>
      <w:bookmarkEnd w:id="274"/>
    </w:p>
    <w:p w:rsidR="00556D3B" w:rsidRPr="002013FE" w:rsidRDefault="00556D3B" w:rsidP="00556D3B">
      <w:pPr>
        <w:spacing w:before="270" w:line="276" w:lineRule="auto"/>
        <w:jc w:val="center"/>
        <w:rPr>
          <w:rFonts w:eastAsia="Times New Roman"/>
          <w:color w:val="000000"/>
        </w:rPr>
      </w:pPr>
      <w:r w:rsidRPr="002013FE">
        <w:rPr>
          <w:rFonts w:eastAsia="Times New Roman"/>
          <w:color w:val="000000"/>
        </w:rPr>
        <w:t>. .</w:t>
      </w:r>
      <w:r w:rsidRPr="002013FE">
        <w:rPr>
          <w:rFonts w:eastAsia="Times New Roman"/>
          <w:color w:val="000000"/>
        </w:rPr>
        <w:br w:type="page"/>
      </w:r>
      <w:r w:rsidRPr="002013FE">
        <w:rPr>
          <w:rFonts w:eastAsia="Times New Roman"/>
          <w:noProof/>
          <w:color w:val="000000"/>
          <w:lang w:eastAsia="de-AT"/>
        </w:rPr>
        <w:drawing>
          <wp:inline distT="0" distB="0" distL="0" distR="0" wp14:anchorId="222B0809" wp14:editId="67DFF964">
            <wp:extent cx="4991100" cy="3343275"/>
            <wp:effectExtent l="0" t="0" r="0" b="9525"/>
            <wp:docPr id="9242" name="Grafik 9242" descr="Versuchsstandorte_Diacont _Inbiosoil_20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ersuchsstandorte_Diacont _Inbiosoil_2015-18"/>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4991100" cy="3343275"/>
                    </a:xfrm>
                    <a:prstGeom prst="rect">
                      <a:avLst/>
                    </a:prstGeom>
                    <a:noFill/>
                    <a:ln>
                      <a:noFill/>
                    </a:ln>
                  </pic:spPr>
                </pic:pic>
              </a:graphicData>
            </a:graphic>
          </wp:inline>
        </w:drawing>
      </w:r>
    </w:p>
    <w:p w:rsidR="00556D3B" w:rsidRPr="002013FE" w:rsidRDefault="00556D3B" w:rsidP="007A30CF">
      <w:pPr>
        <w:pStyle w:val="Beschriftung"/>
        <w:jc w:val="both"/>
      </w:pPr>
      <w:bookmarkStart w:id="275" w:name="_Toc532311576"/>
      <w:bookmarkStart w:id="276" w:name="_Toc7715450"/>
      <w:r>
        <w:t xml:space="preserve">Abbildung </w:t>
      </w:r>
      <w:fldSimple w:instr=" SEQ Abbildung \* ARABIC ">
        <w:r w:rsidR="007A30CF">
          <w:rPr>
            <w:noProof/>
          </w:rPr>
          <w:t>62</w:t>
        </w:r>
      </w:fldSimple>
      <w:r>
        <w:t>:</w:t>
      </w:r>
      <w:r w:rsidRPr="002013FE">
        <w:t xml:space="preserve"> Versuchsflächen in Dedenitz: Feld 1/Siloacker, Feld 2/Gomboc und Feld 3 Langacker (Digitale Bodenkarte von Österreich, eBOD ©, 2018, von Strolz und Strasser modifiziert). Von links nach rechts Versuchsfeld 1, Feld 2 und Feld 3.Umrahmte graue Fläche symbolisiert eine der Versuchsflächen der INBIOSOIL Studie aus dem Jahr 2015, welche sich mit der DIACONT Versuchsanlage überlappte (FP7_ENV.2011.3.19, Agreement No 282767, Rauch et al. 2017).</w:t>
      </w:r>
      <w:bookmarkEnd w:id="275"/>
      <w:bookmarkEnd w:id="276"/>
    </w:p>
    <w:p w:rsidR="00556D3B" w:rsidRPr="002013FE" w:rsidRDefault="00556D3B" w:rsidP="009401E2">
      <w:pPr>
        <w:pStyle w:val="1Unterkapitel"/>
      </w:pPr>
      <w:bookmarkStart w:id="277" w:name="_Toc532311614"/>
      <w:bookmarkStart w:id="278" w:name="_Toc7715614"/>
      <w:r w:rsidRPr="002013FE">
        <w:t>Strategie und Kombination biologischer Wirkstoffe</w:t>
      </w:r>
      <w:bookmarkEnd w:id="277"/>
      <w:bookmarkEnd w:id="278"/>
    </w:p>
    <w:p w:rsidR="00556D3B" w:rsidRPr="002013FE" w:rsidRDefault="00556D3B" w:rsidP="007A30CF">
      <w:pPr>
        <w:pStyle w:val="Flietext"/>
        <w:jc w:val="both"/>
      </w:pPr>
      <w:r>
        <w:t xml:space="preserve">Die </w:t>
      </w:r>
      <w:r w:rsidRPr="002013FE">
        <w:t xml:space="preserve">Wirksamkeitsstudie </w:t>
      </w:r>
      <w:r>
        <w:t xml:space="preserve">wurde </w:t>
      </w:r>
      <w:r w:rsidRPr="002013FE">
        <w:t>auf drei Behandlungsflächen (á 0,5 ha; Parzellengröße: 4 m x 10 m</w:t>
      </w:r>
      <w:r>
        <w:t>) 6 Mal wiederholt</w:t>
      </w:r>
      <w:r w:rsidRPr="002013FE">
        <w:t xml:space="preserve">. Unter Verwendung des geprüften Pilzpathogens </w:t>
      </w:r>
      <w:r w:rsidRPr="002013FE">
        <w:rPr>
          <w:i/>
        </w:rPr>
        <w:t>M. brunneum</w:t>
      </w:r>
      <w:r w:rsidRPr="002013FE">
        <w:t xml:space="preserve"> (Produkt GranMet</w:t>
      </w:r>
      <w:r w:rsidRPr="002013FE">
        <w:rPr>
          <w:vertAlign w:val="superscript"/>
        </w:rPr>
        <w:t>TM</w:t>
      </w:r>
      <w:r w:rsidRPr="002013FE">
        <w:t>), des Nematodenproduktes „dianem</w:t>
      </w:r>
      <w:r w:rsidRPr="002013FE">
        <w:rPr>
          <w:vertAlign w:val="superscript"/>
        </w:rPr>
        <w:t>TM</w:t>
      </w:r>
      <w:r w:rsidRPr="002013FE">
        <w:t>“ (</w:t>
      </w:r>
      <w:r w:rsidRPr="002013FE">
        <w:rPr>
          <w:i/>
        </w:rPr>
        <w:t>Heterorhabditis bacteriophora</w:t>
      </w:r>
      <w:r w:rsidRPr="002013FE">
        <w:t xml:space="preserve">), des Stressschutzbakteriums </w:t>
      </w:r>
      <w:r w:rsidRPr="002013FE">
        <w:rPr>
          <w:i/>
          <w:iCs/>
          <w:lang w:eastAsia="de-AT"/>
        </w:rPr>
        <w:t xml:space="preserve">Stenotrophomonas rhizophila und des Bodenisektizides </w:t>
      </w:r>
      <w:r w:rsidRPr="002013FE">
        <w:t>Belem</w:t>
      </w:r>
      <w:r w:rsidRPr="002013FE">
        <w:rPr>
          <w:vertAlign w:val="superscript"/>
        </w:rPr>
        <w:t>TM</w:t>
      </w:r>
      <w:r w:rsidRPr="002013FE">
        <w:t xml:space="preserve"> 0,8 MG (Positivkontrolle, mit ungebeiztem Saatgut)</w:t>
      </w:r>
      <w:r w:rsidRPr="002013FE">
        <w:rPr>
          <w:i/>
          <w:iCs/>
          <w:lang w:eastAsia="de-AT"/>
        </w:rPr>
        <w:t xml:space="preserve">, </w:t>
      </w:r>
      <w:r w:rsidRPr="002013FE">
        <w:t xml:space="preserve">wurden folgende Wirkstoffkombinationen auf drei Großflächen, welche wiederum in </w:t>
      </w:r>
      <w:r>
        <w:t>achtundvierzig</w:t>
      </w:r>
      <w:r w:rsidRPr="002013FE">
        <w:t xml:space="preserve"> Parzellen unterteilt wurden, ausgetestet: V1) dianem</w:t>
      </w:r>
      <w:r w:rsidRPr="002013FE">
        <w:rPr>
          <w:vertAlign w:val="superscript"/>
        </w:rPr>
        <w:t>TM</w:t>
      </w:r>
      <w:r w:rsidRPr="002013FE">
        <w:t xml:space="preserve"> (in Kombination mit ungebeiztem Saatgut); V2) GranMeT</w:t>
      </w:r>
      <w:r w:rsidRPr="002013FE">
        <w:rPr>
          <w:vertAlign w:val="superscript"/>
        </w:rPr>
        <w:t>TM</w:t>
      </w:r>
      <w:r w:rsidRPr="002013FE">
        <w:t xml:space="preserve"> (mit ungebeiztem Saatgut), V3) </w:t>
      </w:r>
      <w:r w:rsidRPr="002013FE">
        <w:rPr>
          <w:i/>
          <w:iCs/>
          <w:lang w:eastAsia="de-AT"/>
        </w:rPr>
        <w:t xml:space="preserve">Stenotrophomonas rhizophila </w:t>
      </w:r>
      <w:r w:rsidRPr="002013FE">
        <w:t>gebeiztes Saatgut</w:t>
      </w:r>
      <w:r w:rsidRPr="002013FE">
        <w:rPr>
          <w:i/>
          <w:iCs/>
          <w:lang w:eastAsia="de-AT"/>
        </w:rPr>
        <w:t xml:space="preserve">; </w:t>
      </w:r>
      <w:r w:rsidRPr="002013FE">
        <w:t xml:space="preserve">(V4) </w:t>
      </w:r>
      <w:r w:rsidRPr="002013FE">
        <w:rPr>
          <w:i/>
          <w:iCs/>
          <w:lang w:eastAsia="de-AT"/>
        </w:rPr>
        <w:t>Stenotrophomonas gebeiztes Saatgut</w:t>
      </w:r>
      <w:r w:rsidRPr="002013FE">
        <w:t xml:space="preserve"> + dianem</w:t>
      </w:r>
      <w:r w:rsidRPr="002013FE">
        <w:rPr>
          <w:vertAlign w:val="superscript"/>
        </w:rPr>
        <w:t>TM</w:t>
      </w:r>
      <w:r w:rsidRPr="002013FE">
        <w:t>; V5) dianem</w:t>
      </w:r>
      <w:r w:rsidRPr="002013FE">
        <w:rPr>
          <w:vertAlign w:val="superscript"/>
        </w:rPr>
        <w:t>TM</w:t>
      </w:r>
      <w:r w:rsidRPr="002013FE">
        <w:t xml:space="preserve"> + GranMet</w:t>
      </w:r>
      <w:r w:rsidRPr="002013FE">
        <w:rPr>
          <w:vertAlign w:val="superscript"/>
        </w:rPr>
        <w:t>TM</w:t>
      </w:r>
      <w:r w:rsidRPr="002013FE">
        <w:t xml:space="preserve"> (mit ungebeiztem Saatgut); V6) </w:t>
      </w:r>
      <w:r w:rsidRPr="002013FE">
        <w:rPr>
          <w:i/>
          <w:iCs/>
          <w:lang w:eastAsia="de-AT"/>
        </w:rPr>
        <w:t>Stenotrophomonas gebeiztes Saatgut</w:t>
      </w:r>
      <w:r w:rsidRPr="002013FE">
        <w:t xml:space="preserve"> + GranMet</w:t>
      </w:r>
      <w:r w:rsidRPr="002013FE">
        <w:rPr>
          <w:vertAlign w:val="superscript"/>
        </w:rPr>
        <w:t>TM</w:t>
      </w:r>
      <w:r w:rsidRPr="002013FE">
        <w:t>; V7) Unbehandelte Kontrolle (Negativkontrolle, mit ungebeiztem Saatgut); V8) Belem</w:t>
      </w:r>
      <w:r w:rsidRPr="002013FE">
        <w:rPr>
          <w:vertAlign w:val="superscript"/>
        </w:rPr>
        <w:t>TM</w:t>
      </w:r>
      <w:r w:rsidRPr="002013FE">
        <w:t xml:space="preserve"> 0,8 MG (Positivkontrolle, mit ungebeiztem Saatgut). Applikationszeitpunkt: April 2018.</w:t>
      </w:r>
    </w:p>
    <w:p w:rsidR="00556D3B" w:rsidRPr="002013FE" w:rsidRDefault="00556D3B" w:rsidP="009401E2">
      <w:pPr>
        <w:pStyle w:val="1Unterkapitel"/>
      </w:pPr>
      <w:bookmarkStart w:id="279" w:name="_Toc532311615"/>
      <w:bookmarkStart w:id="280" w:name="_Toc7715615"/>
      <w:r w:rsidRPr="002013FE">
        <w:t>Persistenzuntersuchung, Wurzel-, Pflanzen- und Ertragsbonitur</w:t>
      </w:r>
      <w:bookmarkEnd w:id="279"/>
      <w:bookmarkEnd w:id="280"/>
    </w:p>
    <w:p w:rsidR="00556D3B" w:rsidRPr="002013FE" w:rsidRDefault="00556D3B" w:rsidP="007A30CF">
      <w:pPr>
        <w:pStyle w:val="Flietext"/>
        <w:jc w:val="both"/>
      </w:pPr>
      <w:r w:rsidRPr="002013FE">
        <w:t xml:space="preserve">Die Untersuchungen wurden gemäß EPPO Richtlinie (EPPO 2011) </w:t>
      </w:r>
      <w:r w:rsidRPr="002013FE">
        <w:rPr>
          <w:i/>
        </w:rPr>
        <w:t>Diabrotica virgifera</w:t>
      </w:r>
      <w:r w:rsidRPr="002013FE">
        <w:t xml:space="preserve"> Käfer: PP 1/274(1), EPPO (2011) </w:t>
      </w:r>
      <w:r w:rsidRPr="002013FE">
        <w:rPr>
          <w:i/>
        </w:rPr>
        <w:t>Diabrotica virgifera</w:t>
      </w:r>
      <w:r w:rsidRPr="002013FE">
        <w:t xml:space="preserve"> – Larven: PP 1/212(2); EPPO (2017) Principles of efficacy evaluation for low-risk plant protection products PP 1/296 (1) und FAO Richtlinie (2006) ausgeführt; die biologische Wirkstoffpersistenz von </w:t>
      </w:r>
      <w:r w:rsidRPr="002013FE">
        <w:rPr>
          <w:i/>
        </w:rPr>
        <w:t>M. brunneum</w:t>
      </w:r>
      <w:r w:rsidRPr="002013FE">
        <w:t xml:space="preserve"> wurde gemäß Standardmethode nach Längle et al. (2005) durchgeführt. Weiters wurde am 24. Juli 2018 stichprobenartig die Wurzelbonitur im Versuchsfeld 2/Gomboc, sowie am 3. September 2018 die Pflanzenbonitur aller Maispflanzen in allen drei Versuchsfeldern durchgeführt. Der Körnermais</w:t>
      </w:r>
      <w:r>
        <w:t>g</w:t>
      </w:r>
      <w:r w:rsidRPr="002013FE">
        <w:t>esamtertrag wurde zum Zeitpunkt der Ernte, am 17. September 2018, vor Ort für jeden einzelnen Behandlungsstreifen vom Institut für Nachhaltige Pflanzenproduktion (AGES) ermittelt. Die Ernte erfolgte mit Hilfe eines Parzellendreschers. Nach Trocknung der Maiskörner wurden diese gravimetrisch gemäß IWGO Methode (2005) bestimmt.</w:t>
      </w:r>
    </w:p>
    <w:p w:rsidR="00556D3B" w:rsidRPr="002013FE" w:rsidRDefault="00556D3B" w:rsidP="00556D3B">
      <w:pPr>
        <w:pStyle w:val="1Unterkapitel"/>
        <w:rPr>
          <w:noProof/>
        </w:rPr>
      </w:pPr>
      <w:bookmarkStart w:id="281" w:name="_Toc532311616"/>
      <w:bookmarkStart w:id="282" w:name="_Toc7715616"/>
      <w:r w:rsidRPr="002013FE">
        <w:rPr>
          <w:noProof/>
        </w:rPr>
        <w:t>Meteorologische Daten</w:t>
      </w:r>
      <w:bookmarkEnd w:id="281"/>
      <w:bookmarkEnd w:id="282"/>
    </w:p>
    <w:p w:rsidR="00EB7819" w:rsidRDefault="00556D3B" w:rsidP="00F36437">
      <w:pPr>
        <w:pStyle w:val="Flietext"/>
        <w:jc w:val="both"/>
      </w:pPr>
      <w:r w:rsidRPr="002013FE">
        <w:t>Die Wetterdaten [Tagesniederschlagssummen (mm), die Tagestemperatur (T</w:t>
      </w:r>
      <w:r w:rsidRPr="002013FE">
        <w:rPr>
          <w:vertAlign w:val="subscript"/>
        </w:rPr>
        <w:t>min</w:t>
      </w:r>
      <w:r w:rsidRPr="002013FE">
        <w:t xml:space="preserve"> und T</w:t>
      </w:r>
      <w:r w:rsidRPr="002013FE">
        <w:rPr>
          <w:vertAlign w:val="subscript"/>
        </w:rPr>
        <w:t>max</w:t>
      </w:r>
      <w:r w:rsidRPr="002013FE">
        <w:t>)] wurden über den gesamten Versuchszeitraum vom 1. März 2015 bis 30. September 2017 gemessen, welche uns von der Firma ALWERA (Donnersdorf) zur Verfügung gestellt wurden. Die Messstellen befanden sich unmittelbar in der Nähe der Versuchsstandorte. Das aktuelle Wettergeschehen zum Zeitpunkt der Wirkungsstudie in Dedenitz (April bis September 2018) wurde vom Projektpartner AGES erhoben. So wurde ein Hagelschlag zum Zeitpunkt des Dreiblattstadiums (BBCH 13) registriert, der jedoch keine negativen Einflüsse auf die weitere Entwicklung der Maispflanzen am Standort ausübte.</w:t>
      </w:r>
    </w:p>
    <w:p w:rsidR="00EB7819" w:rsidRPr="002013FE" w:rsidRDefault="00EB7819" w:rsidP="00EB7819">
      <w:pPr>
        <w:pStyle w:val="1Unterkapitel"/>
      </w:pPr>
      <w:bookmarkStart w:id="283" w:name="_Toc532311617"/>
      <w:bookmarkStart w:id="284" w:name="_Toc7715617"/>
      <w:r>
        <w:t xml:space="preserve">produktcharakterisierung und </w:t>
      </w:r>
      <w:r w:rsidRPr="002013FE">
        <w:t>Qualitätssicherung des Wirkstoffes GranMet</w:t>
      </w:r>
      <w:r w:rsidRPr="002013FE">
        <w:rPr>
          <w:vertAlign w:val="superscript"/>
        </w:rPr>
        <w:t>TM</w:t>
      </w:r>
      <w:bookmarkEnd w:id="283"/>
      <w:bookmarkEnd w:id="284"/>
    </w:p>
    <w:p w:rsidR="00EB7819" w:rsidRPr="002013FE" w:rsidRDefault="00EB7819" w:rsidP="001B6385">
      <w:pPr>
        <w:pStyle w:val="Flietext"/>
        <w:jc w:val="both"/>
      </w:pPr>
      <w:r w:rsidRPr="002013FE">
        <w:t>Das GranMet</w:t>
      </w:r>
      <w:r w:rsidRPr="002013FE">
        <w:rPr>
          <w:vertAlign w:val="superscript"/>
        </w:rPr>
        <w:t>TM</w:t>
      </w:r>
      <w:r w:rsidRPr="002013FE">
        <w:t xml:space="preserve"> Produkt wurde für die DIACONT-Studie auf Basis des registrierten Produktionsstammes BIPESCO 5 (Pfl. Reg. Nr. 3717) von der Firma Agrifutur s.r.l. produziert.</w:t>
      </w:r>
    </w:p>
    <w:p w:rsidR="00EB7819" w:rsidRPr="002013FE" w:rsidRDefault="00EB7819" w:rsidP="001B6385">
      <w:pPr>
        <w:spacing w:before="270" w:line="276" w:lineRule="auto"/>
        <w:jc w:val="both"/>
        <w:rPr>
          <w:rFonts w:eastAsia="Times New Roman"/>
          <w:color w:val="000000"/>
          <w:lang w:eastAsia="de-AT"/>
        </w:rPr>
      </w:pPr>
      <w:r w:rsidRPr="002013FE">
        <w:rPr>
          <w:rFonts w:eastAsia="Times New Roman"/>
          <w:color w:val="000000"/>
        </w:rPr>
        <w:t>Das Produkt kann wie folgt charakterisiert werden: GranMet</w:t>
      </w:r>
      <w:r w:rsidRPr="002013FE">
        <w:rPr>
          <w:rFonts w:eastAsia="Times New Roman"/>
          <w:color w:val="000000"/>
          <w:vertAlign w:val="superscript"/>
        </w:rPr>
        <w:t>TM</w:t>
      </w:r>
      <w:r w:rsidRPr="002013FE">
        <w:rPr>
          <w:rFonts w:eastAsia="Times New Roman"/>
          <w:color w:val="000000"/>
        </w:rPr>
        <w:t xml:space="preserve"> </w:t>
      </w:r>
      <w:r w:rsidRPr="002013FE">
        <w:rPr>
          <w:rFonts w:eastAsia="Times New Roman"/>
          <w:i/>
          <w:color w:val="000000"/>
        </w:rPr>
        <w:t xml:space="preserve">Metarhizium brunneum </w:t>
      </w:r>
      <w:r w:rsidRPr="00B33FD1">
        <w:rPr>
          <w:rFonts w:eastAsia="Times New Roman"/>
          <w:color w:val="000000"/>
        </w:rPr>
        <w:t>Myzel-Biomasse mit</w:t>
      </w:r>
      <w:r w:rsidRPr="002013FE">
        <w:rPr>
          <w:rFonts w:eastAsia="Times New Roman"/>
          <w:color w:val="000000"/>
        </w:rPr>
        <w:t xml:space="preserve"> Pilzsporen (BIPESCO 5, Stammhalter: BIPESCO Team Innsbruck, Universität Innsbruck). </w:t>
      </w:r>
      <w:r w:rsidRPr="002013FE">
        <w:rPr>
          <w:rFonts w:eastAsia="Times New Roman"/>
          <w:color w:val="000000"/>
          <w:lang w:eastAsia="de-AT"/>
        </w:rPr>
        <w:t xml:space="preserve">Ein Gramm </w:t>
      </w:r>
      <w:r w:rsidRPr="002013FE">
        <w:rPr>
          <w:rFonts w:eastAsia="Times New Roman"/>
          <w:color w:val="000000"/>
        </w:rPr>
        <w:t>GranMet</w:t>
      </w:r>
      <w:r w:rsidRPr="002013FE">
        <w:rPr>
          <w:rFonts w:eastAsia="Times New Roman"/>
          <w:color w:val="000000"/>
          <w:vertAlign w:val="superscript"/>
        </w:rPr>
        <w:t>TM</w:t>
      </w:r>
      <w:r w:rsidRPr="002013FE">
        <w:rPr>
          <w:rFonts w:eastAsia="Times New Roman"/>
          <w:color w:val="000000"/>
          <w:lang w:eastAsia="de-AT"/>
        </w:rPr>
        <w:t xml:space="preserve"> (Pilzgerste) besteht im Durchschnitt aus 28 verpilzten Gerstekörner</w:t>
      </w:r>
      <w:r>
        <w:rPr>
          <w:rFonts w:eastAsia="Times New Roman"/>
          <w:color w:val="000000"/>
          <w:lang w:eastAsia="de-AT"/>
        </w:rPr>
        <w:t>n</w:t>
      </w:r>
      <w:r w:rsidRPr="002013FE">
        <w:rPr>
          <w:rFonts w:eastAsia="Times New Roman"/>
          <w:color w:val="000000"/>
          <w:lang w:eastAsia="de-AT"/>
        </w:rPr>
        <w:t>. Jedes verpilzte Getreidekorn, welches auf feuchtem Torf bzw. Nährboden aufgelegt wird, produziert im Durchschnitt 1 x 10</w:t>
      </w:r>
      <w:r w:rsidRPr="002013FE">
        <w:rPr>
          <w:rFonts w:eastAsia="Times New Roman"/>
          <w:color w:val="000000"/>
          <w:vertAlign w:val="superscript"/>
          <w:lang w:eastAsia="de-AT"/>
        </w:rPr>
        <w:t>8</w:t>
      </w:r>
      <w:r w:rsidRPr="002013FE">
        <w:rPr>
          <w:rFonts w:eastAsia="Times New Roman"/>
          <w:color w:val="000000"/>
          <w:lang w:eastAsia="de-AT"/>
        </w:rPr>
        <w:t xml:space="preserve"> Konidien. Davon abgeleitet enthält ein Gramm </w:t>
      </w:r>
      <w:r w:rsidRPr="002013FE">
        <w:rPr>
          <w:rFonts w:eastAsia="Times New Roman"/>
          <w:color w:val="000000"/>
        </w:rPr>
        <w:t>GranMet</w:t>
      </w:r>
      <w:r w:rsidRPr="002013FE">
        <w:rPr>
          <w:rFonts w:eastAsia="Times New Roman"/>
          <w:color w:val="000000"/>
          <w:vertAlign w:val="superscript"/>
        </w:rPr>
        <w:t>TM</w:t>
      </w:r>
      <w:r w:rsidRPr="002013FE">
        <w:rPr>
          <w:rFonts w:eastAsia="Times New Roman"/>
          <w:color w:val="000000"/>
          <w:lang w:eastAsia="de-AT"/>
        </w:rPr>
        <w:t xml:space="preserve"> mehr als 5 x 10</w:t>
      </w:r>
      <w:r w:rsidRPr="002013FE">
        <w:rPr>
          <w:rFonts w:eastAsia="Times New Roman"/>
          <w:color w:val="000000"/>
          <w:vertAlign w:val="superscript"/>
          <w:lang w:eastAsia="de-AT"/>
        </w:rPr>
        <w:t>9</w:t>
      </w:r>
      <w:r w:rsidRPr="002013FE">
        <w:rPr>
          <w:rFonts w:eastAsia="Times New Roman"/>
          <w:color w:val="000000"/>
          <w:lang w:eastAsia="de-AT"/>
        </w:rPr>
        <w:t xml:space="preserve"> Konidien.</w:t>
      </w:r>
    </w:p>
    <w:p w:rsidR="00EB7819" w:rsidRPr="002013FE" w:rsidRDefault="00EB7819" w:rsidP="001B6385">
      <w:pPr>
        <w:spacing w:before="270" w:line="276" w:lineRule="auto"/>
        <w:jc w:val="both"/>
        <w:rPr>
          <w:rFonts w:eastAsia="Times New Roman"/>
          <w:color w:val="000000"/>
        </w:rPr>
      </w:pPr>
      <w:r w:rsidRPr="002013FE">
        <w:rPr>
          <w:rFonts w:eastAsia="Times New Roman"/>
          <w:color w:val="000000"/>
        </w:rPr>
        <w:t>Die Produktbestellung von GranMet</w:t>
      </w:r>
      <w:r w:rsidRPr="002013FE">
        <w:rPr>
          <w:rFonts w:eastAsia="Times New Roman"/>
          <w:color w:val="000000"/>
          <w:vertAlign w:val="superscript"/>
        </w:rPr>
        <w:t>TM</w:t>
      </w:r>
      <w:r w:rsidRPr="002013FE">
        <w:rPr>
          <w:rFonts w:eastAsia="Times New Roman"/>
          <w:color w:val="000000"/>
        </w:rPr>
        <w:t xml:space="preserve"> wurde vom Institut für Mikrobiologie, Leopold-Franzens Universität Innsbruck, entweder direkt beim Produzenten Agrifutur s.r.l. (Italien) oder beim österreichischen Zulassungsinhaber, Samen Schwarzenberger, durchgeführt. Das Ansuchen um Zulassung bei der Behörde (AGES: Antrag auf Zulassung von Versuchen zu Forschungs- und Entwicklungszwecken mit einem nicht zugelassenen Pflanzenschutzmittel gemäß Artikel 54 der Verordnung (EG) Nr. 1107/2009 (ABl. Nr. L 309 vom 24.11.2009), wurde im ersten Projektjahr vom Institut für Mikrobiologie, Leopold-Franzens Universität Innsbruck, in den folgenden zwei Projektjahren vom Projektkoordinator AGES veranlasst.</w:t>
      </w:r>
    </w:p>
    <w:p w:rsidR="00EB7819" w:rsidRPr="002013FE" w:rsidRDefault="00EB7819" w:rsidP="00EB7819">
      <w:pPr>
        <w:pStyle w:val="11Unterkapitel"/>
      </w:pPr>
      <w:bookmarkStart w:id="285" w:name="_Toc532311619"/>
      <w:bookmarkStart w:id="286" w:name="_Toc7715618"/>
      <w:r w:rsidRPr="002013FE">
        <w:t>Qualitätssicherung</w:t>
      </w:r>
      <w:bookmarkEnd w:id="285"/>
      <w:bookmarkEnd w:id="286"/>
    </w:p>
    <w:p w:rsidR="00402D84" w:rsidRPr="00F36437" w:rsidRDefault="00EB7819" w:rsidP="00F36437">
      <w:pPr>
        <w:spacing w:before="270" w:line="276" w:lineRule="auto"/>
        <w:jc w:val="both"/>
        <w:rPr>
          <w:rFonts w:eastAsia="Times New Roman"/>
          <w:color w:val="000000"/>
        </w:rPr>
      </w:pPr>
      <w:r w:rsidRPr="002013FE">
        <w:rPr>
          <w:rFonts w:eastAsia="Times New Roman"/>
          <w:color w:val="000000"/>
        </w:rPr>
        <w:t>Unter Verwendung der modifizierten BIPESCO Standardprotokolle zur Virulenzprüfung und Qualitätssicherung wurde die Stammidentität (Genotypisierung), Sporenausbeute, ihre Keimungsfähigkeit und die Virulenz von GranMet</w:t>
      </w:r>
      <w:r w:rsidRPr="002013FE">
        <w:rPr>
          <w:rFonts w:eastAsia="Times New Roman"/>
          <w:color w:val="000000"/>
          <w:vertAlign w:val="superscript"/>
        </w:rPr>
        <w:t>TM</w:t>
      </w:r>
      <w:r w:rsidRPr="002013FE">
        <w:rPr>
          <w:rFonts w:eastAsia="Times New Roman"/>
          <w:color w:val="000000"/>
        </w:rPr>
        <w:t xml:space="preserve"> (Pilz-Sporenprodukt auf Trägerstoff Gerste produziert) jährlich kontrolliert. Die Bewertung erfolgte unmittelbar nach der Produktion von </w:t>
      </w:r>
      <w:r w:rsidRPr="002013FE">
        <w:rPr>
          <w:rFonts w:eastAsia="Times New Roman"/>
          <w:i/>
          <w:color w:val="000000"/>
        </w:rPr>
        <w:t>M. brunneum</w:t>
      </w:r>
      <w:r w:rsidRPr="002013FE">
        <w:rPr>
          <w:rFonts w:eastAsia="Times New Roman"/>
          <w:color w:val="000000"/>
        </w:rPr>
        <w:t xml:space="preserve"> BIPESCO 5 (Probennahme ab Werk) und nach der Auslieferung der GranMet</w:t>
      </w:r>
      <w:r w:rsidRPr="002013FE">
        <w:rPr>
          <w:rFonts w:eastAsia="Times New Roman"/>
          <w:color w:val="000000"/>
          <w:vertAlign w:val="superscript"/>
        </w:rPr>
        <w:t>TM</w:t>
      </w:r>
      <w:r w:rsidRPr="002013FE">
        <w:rPr>
          <w:rFonts w:eastAsia="Times New Roman"/>
          <w:color w:val="000000"/>
        </w:rPr>
        <w:t xml:space="preserve"> Produkte (Probennahme am Versuchsstandort). Alle Ergebnisse wurden auf Normalverteilung (einfaktorelle ANOVA) und bivariate Korrelationen nach Pearson (p &lt; 0,05; SPSS Statistics 24.0) geprüft.</w:t>
      </w:r>
      <w:bookmarkStart w:id="287" w:name="_Toc533059363"/>
      <w:bookmarkEnd w:id="287"/>
    </w:p>
    <w:p w:rsidR="00402D84" w:rsidRDefault="00F36437" w:rsidP="00F36437">
      <w:pPr>
        <w:pStyle w:val="1Unterkapitel"/>
      </w:pPr>
      <w:bookmarkStart w:id="288" w:name="_Toc7715619"/>
      <w:r>
        <w:t>Ermittlung der Käferzahlen</w:t>
      </w:r>
      <w:bookmarkEnd w:id="288"/>
    </w:p>
    <w:p w:rsidR="00402D84" w:rsidRDefault="00402D84" w:rsidP="00F36437">
      <w:pPr>
        <w:pStyle w:val="Flietext"/>
        <w:jc w:val="both"/>
      </w:pPr>
      <w:r w:rsidRPr="00B412F3">
        <w:t xml:space="preserve">Für den </w:t>
      </w:r>
      <w:r w:rsidRPr="000E7FDF">
        <w:t xml:space="preserve">Kombinationsversuch 2018 wurden Stoffzelte des Projektpartners AGES, bestehend aus einem Holzrahmen (65 x 50 cm, </w:t>
      </w:r>
      <w:r w:rsidRPr="000E7FDF">
        <w:fldChar w:fldCharType="begin"/>
      </w:r>
      <w:r w:rsidRPr="000E7FDF">
        <w:instrText xml:space="preserve"> REF _Ref533059911 \h </w:instrText>
      </w:r>
      <w:r w:rsidR="00F36437" w:rsidRPr="000E7FDF">
        <w:instrText xml:space="preserve"> \* MERGEFORMAT </w:instrText>
      </w:r>
      <w:r w:rsidRPr="000E7FDF">
        <w:fldChar w:fldCharType="separate"/>
      </w:r>
      <w:r w:rsidR="00F36437" w:rsidRPr="000E7FDF">
        <w:t xml:space="preserve">Abbildung </w:t>
      </w:r>
      <w:r w:rsidR="00F36437" w:rsidRPr="000E7FDF">
        <w:rPr>
          <w:noProof/>
        </w:rPr>
        <w:t>63</w:t>
      </w:r>
      <w:r w:rsidRPr="000E7FDF">
        <w:fldChar w:fldCharType="end"/>
      </w:r>
      <w:r w:rsidRPr="000E7FDF">
        <w:t>) und einem Zelt aus Vorhangstoff mit seitlich eingenähtem Klettverschluss sowie einer Stütze bestehend aus einer 1,5-Liter PET-Flasche aufgestellt. Die PET-Flaschen mündeten jeweils in eine Auffangdose mit Deckel. Die</w:t>
      </w:r>
      <w:r w:rsidRPr="00B412F3">
        <w:t xml:space="preserve"> Flaschen waren mit Löchern von 1 cm Durchmesser perforiert, um den Käfern den Zugang zu der Dose zu ermöglichen. Für die Auffangdose wurde mit einer Lochsäge ein Loch mit 2 cm Durchmesser in den Boden einer 500 ml Dose (Ø 10 cm, h: 7,5 cm) geschnitten. In den Deckel der PET-Flaschen wurde mit einem Locheisen ein Loch von 1,5 cm Durchmesser gestanzt. Der präparierte Deckel wurde so in die Dose eingeklebt, dass die Dose auf das Gewinde der Flasche am Kübel aufgeschraubt werden konnte. Die Dosen waren mit Luftlöchern versehen, um Kondenswasser in der Dose zu verhindern. Bei der Installation der Versuchseinheiten im Feld wurden etwaig zu nahe stehende Nachbarpflanze(n) entfernt und die 3 gewählten Pflanze</w:t>
      </w:r>
      <w:r w:rsidR="00F36437">
        <w:t xml:space="preserve">n auf ca. 20 cm abgeschnitten. </w:t>
      </w:r>
      <w:r w:rsidRPr="00B412F3">
        <w:t xml:space="preserve">Um die Pflanzen, unter dem Rahmen, wurde die </w:t>
      </w:r>
      <w:r w:rsidRPr="000E7FDF">
        <w:t>Erde leicht abgegraben. Das Stoffzelt wurde aufgestellt und der Rahmen darübergelegt. Die Enden des Stoffzeltes wurden um die Außenkanten nach oben gezogen, gespannt und über dem Rahmen mit Erde leicht angehäufelt (</w:t>
      </w:r>
      <w:r w:rsidRPr="000E7FDF">
        <w:fldChar w:fldCharType="begin"/>
      </w:r>
      <w:r w:rsidRPr="000E7FDF">
        <w:instrText xml:space="preserve"> REF _Ref533059932 \h </w:instrText>
      </w:r>
      <w:r w:rsidR="00F36437" w:rsidRPr="000E7FDF">
        <w:instrText xml:space="preserve"> \* MERGEFORMAT </w:instrText>
      </w:r>
      <w:r w:rsidRPr="000E7FDF">
        <w:fldChar w:fldCharType="separate"/>
      </w:r>
      <w:r w:rsidR="00F36437" w:rsidRPr="000E7FDF">
        <w:t xml:space="preserve">Abbildung </w:t>
      </w:r>
      <w:r w:rsidR="00F36437" w:rsidRPr="000E7FDF">
        <w:rPr>
          <w:noProof/>
        </w:rPr>
        <w:t>64</w:t>
      </w:r>
      <w:r w:rsidRPr="000E7FDF">
        <w:fldChar w:fldCharType="end"/>
      </w:r>
      <w:r w:rsidRPr="000E7FDF">
        <w:t>). Zur Käferzählung wurden die Auffangdosen geöffnet und die darin befindlichen Käfer gezählt und entfernt. Die leeren</w:t>
      </w:r>
      <w:r w:rsidRPr="00B412F3">
        <w:t xml:space="preserve"> Dosen wurden zur Anlockung der Käfer mit einem Stück Mais versehen und wieder verschlossen. Mit einem kleinen Auffanggefäß wurden noch im Zelt befindliche Käfer eingesammelt und gezählt. Zählung und Erneuerung des Lockmaises erfolgte in wöchentlichen Intervallen von 5.7. bis 28.8.2018.</w:t>
      </w:r>
    </w:p>
    <w:p w:rsidR="00402D84" w:rsidRPr="003A14C2" w:rsidRDefault="00402D84" w:rsidP="00402D84">
      <w:pPr>
        <w:pStyle w:val="Flietext"/>
      </w:pPr>
    </w:p>
    <w:p w:rsidR="00402D84" w:rsidRDefault="00402D84" w:rsidP="00402D84">
      <w:pPr>
        <w:pStyle w:val="Flietext"/>
      </w:pPr>
      <w:r>
        <w:rPr>
          <w:noProof/>
          <w:lang w:eastAsia="de-AT"/>
        </w:rPr>
        <w:drawing>
          <wp:inline distT="0" distB="0" distL="0" distR="0" wp14:anchorId="166F4D0B" wp14:editId="46EB5F0F">
            <wp:extent cx="5753100" cy="3345815"/>
            <wp:effectExtent l="0" t="0" r="0" b="6985"/>
            <wp:docPr id="9290" name="Grafik 9290" title="Rahmen des Schlupfzeltes um drei abgeschnittene Maispflanz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80916" cy="3361992"/>
                    </a:xfrm>
                    <a:prstGeom prst="rect">
                      <a:avLst/>
                    </a:prstGeom>
                  </pic:spPr>
                </pic:pic>
              </a:graphicData>
            </a:graphic>
          </wp:inline>
        </w:drawing>
      </w:r>
    </w:p>
    <w:p w:rsidR="00402D84" w:rsidRPr="00F36437" w:rsidRDefault="00402D84" w:rsidP="00402D84">
      <w:pPr>
        <w:pStyle w:val="Beschriftung"/>
        <w:rPr>
          <w:color w:val="auto"/>
        </w:rPr>
      </w:pPr>
      <w:bookmarkStart w:id="289" w:name="_Ref533059911"/>
      <w:bookmarkStart w:id="290" w:name="_Toc533059407"/>
      <w:bookmarkStart w:id="291" w:name="_Toc7715451"/>
      <w:r>
        <w:t xml:space="preserve">Abbildung </w:t>
      </w:r>
      <w:r>
        <w:rPr>
          <w:noProof/>
        </w:rPr>
        <w:fldChar w:fldCharType="begin"/>
      </w:r>
      <w:r>
        <w:rPr>
          <w:noProof/>
        </w:rPr>
        <w:instrText xml:space="preserve"> SEQ Abbildung \* ARABIC </w:instrText>
      </w:r>
      <w:r>
        <w:rPr>
          <w:noProof/>
        </w:rPr>
        <w:fldChar w:fldCharType="separate"/>
      </w:r>
      <w:r w:rsidR="00F36437">
        <w:rPr>
          <w:noProof/>
        </w:rPr>
        <w:t>63</w:t>
      </w:r>
      <w:r>
        <w:rPr>
          <w:noProof/>
        </w:rPr>
        <w:fldChar w:fldCharType="end"/>
      </w:r>
      <w:bookmarkEnd w:id="289"/>
      <w:r>
        <w:t xml:space="preserve">: </w:t>
      </w:r>
      <w:r w:rsidRPr="0058595C">
        <w:t xml:space="preserve">Rahmen des Schlupfzeltes um drei abgeschnittene </w:t>
      </w:r>
      <w:r w:rsidRPr="00F36437">
        <w:rPr>
          <w:color w:val="auto"/>
        </w:rPr>
        <w:t>Maispflanzen</w:t>
      </w:r>
      <w:bookmarkEnd w:id="290"/>
      <w:bookmarkEnd w:id="291"/>
      <w:r w:rsidRPr="00F36437">
        <w:rPr>
          <w:color w:val="auto"/>
        </w:rPr>
        <w:t xml:space="preserve"> </w:t>
      </w:r>
    </w:p>
    <w:p w:rsidR="00402D84" w:rsidRPr="00F36437" w:rsidRDefault="00402D84" w:rsidP="00402D84">
      <w:pPr>
        <w:pStyle w:val="Flietext"/>
        <w:rPr>
          <w:color w:val="auto"/>
        </w:rPr>
      </w:pPr>
    </w:p>
    <w:p w:rsidR="00402D84" w:rsidRDefault="00402D84" w:rsidP="00402D84">
      <w:pPr>
        <w:pStyle w:val="Flietext"/>
      </w:pPr>
      <w:r>
        <w:rPr>
          <w:noProof/>
          <w:lang w:eastAsia="de-AT"/>
        </w:rPr>
        <w:drawing>
          <wp:inline distT="0" distB="0" distL="0" distR="0" wp14:anchorId="4EAAA7E7" wp14:editId="03F82083">
            <wp:extent cx="5676900" cy="4005580"/>
            <wp:effectExtent l="0" t="0" r="0" b="0"/>
            <wp:docPr id="9291" name="Grafik 9291" title="Fertig installiertes Schlupfzelt um drei abgeschnitte Maispflanz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03384" cy="4024267"/>
                    </a:xfrm>
                    <a:prstGeom prst="rect">
                      <a:avLst/>
                    </a:prstGeom>
                  </pic:spPr>
                </pic:pic>
              </a:graphicData>
            </a:graphic>
          </wp:inline>
        </w:drawing>
      </w:r>
    </w:p>
    <w:p w:rsidR="00402D84" w:rsidRPr="00B412F3" w:rsidRDefault="00402D84" w:rsidP="00402D84">
      <w:pPr>
        <w:pStyle w:val="Beschriftung"/>
      </w:pPr>
      <w:bookmarkStart w:id="292" w:name="_Ref533059932"/>
      <w:bookmarkStart w:id="293" w:name="_Toc533059408"/>
      <w:bookmarkStart w:id="294" w:name="_Toc7715452"/>
      <w:r w:rsidRPr="0058595C">
        <w:t xml:space="preserve">Abbildung </w:t>
      </w:r>
      <w:r>
        <w:rPr>
          <w:noProof/>
        </w:rPr>
        <w:fldChar w:fldCharType="begin"/>
      </w:r>
      <w:r>
        <w:rPr>
          <w:noProof/>
        </w:rPr>
        <w:instrText xml:space="preserve"> SEQ Abbildung \* ARABIC </w:instrText>
      </w:r>
      <w:r>
        <w:rPr>
          <w:noProof/>
        </w:rPr>
        <w:fldChar w:fldCharType="separate"/>
      </w:r>
      <w:r w:rsidR="00F36437">
        <w:rPr>
          <w:noProof/>
        </w:rPr>
        <w:t>64</w:t>
      </w:r>
      <w:r>
        <w:rPr>
          <w:noProof/>
        </w:rPr>
        <w:fldChar w:fldCharType="end"/>
      </w:r>
      <w:bookmarkEnd w:id="292"/>
      <w:r w:rsidRPr="0058595C">
        <w:t>: Fertig installiertes Schlupfzelt um drei abgeschnittene Maispflanzen</w:t>
      </w:r>
      <w:bookmarkEnd w:id="293"/>
      <w:bookmarkEnd w:id="294"/>
      <w:r w:rsidRPr="0058595C">
        <w:t xml:space="preserve"> </w:t>
      </w:r>
    </w:p>
    <w:p w:rsidR="00402D84" w:rsidRPr="0058595C" w:rsidRDefault="00402D84" w:rsidP="00402D84">
      <w:pPr>
        <w:pStyle w:val="Flietext"/>
      </w:pPr>
    </w:p>
    <w:p w:rsidR="00402D84" w:rsidRPr="009E7773" w:rsidRDefault="00402D84" w:rsidP="00F36437">
      <w:pPr>
        <w:pStyle w:val="1Unterkapitel"/>
      </w:pPr>
      <w:bookmarkStart w:id="295" w:name="_Toc533059365"/>
      <w:bookmarkStart w:id="296" w:name="_Toc7715620"/>
      <w:r>
        <w:t>Persistenztest</w:t>
      </w:r>
      <w:bookmarkEnd w:id="295"/>
      <w:r>
        <w:t xml:space="preserve"> </w:t>
      </w:r>
      <w:r w:rsidR="00F36437" w:rsidRPr="00F36437">
        <w:t>Dianem®</w:t>
      </w:r>
      <w:bookmarkEnd w:id="296"/>
    </w:p>
    <w:p w:rsidR="00402D84" w:rsidRDefault="00402D84" w:rsidP="00F36437">
      <w:pPr>
        <w:pStyle w:val="Flietext"/>
        <w:jc w:val="both"/>
        <w:rPr>
          <w:lang w:eastAsia="de-DE"/>
        </w:rPr>
      </w:pPr>
      <w:r w:rsidRPr="00F36437">
        <w:rPr>
          <w:color w:val="auto"/>
          <w:lang w:eastAsia="de-DE"/>
        </w:rPr>
        <w:t xml:space="preserve">Es wurde </w:t>
      </w:r>
      <w:r>
        <w:rPr>
          <w:lang w:eastAsia="de-DE"/>
        </w:rPr>
        <w:t xml:space="preserve">das </w:t>
      </w:r>
      <w:r w:rsidRPr="00785B26">
        <w:rPr>
          <w:lang w:eastAsia="de-DE"/>
        </w:rPr>
        <w:t>„auf verbesserte Virulenz und Persiste</w:t>
      </w:r>
      <w:r>
        <w:rPr>
          <w:lang w:eastAsia="de-DE"/>
        </w:rPr>
        <w:t>nz weiterentwickelte</w:t>
      </w:r>
      <w:r w:rsidRPr="00785B26">
        <w:rPr>
          <w:lang w:eastAsia="de-DE"/>
        </w:rPr>
        <w:t xml:space="preserve"> Dianem® - entsprechend dem im Verkauf befindlichen Produkt </w:t>
      </w:r>
      <w:r>
        <w:rPr>
          <w:lang w:eastAsia="de-DE"/>
        </w:rPr>
        <w:t xml:space="preserve">in der </w:t>
      </w:r>
      <w:r w:rsidRPr="00785B26">
        <w:rPr>
          <w:lang w:eastAsia="de-DE"/>
        </w:rPr>
        <w:t>empfohlenen Aufwandmenge von 2 Mrd. Namatoden/ha</w:t>
      </w:r>
      <w:r>
        <w:rPr>
          <w:lang w:eastAsia="de-DE"/>
        </w:rPr>
        <w:t xml:space="preserve"> ausgebracht</w:t>
      </w:r>
      <w:r w:rsidRPr="00785B26">
        <w:rPr>
          <w:lang w:eastAsia="de-DE"/>
        </w:rPr>
        <w:t xml:space="preserve">. </w:t>
      </w:r>
    </w:p>
    <w:p w:rsidR="00402D84" w:rsidRPr="000E7FDF" w:rsidRDefault="00402D84" w:rsidP="00F36437">
      <w:pPr>
        <w:pStyle w:val="Flietext"/>
        <w:jc w:val="both"/>
        <w:rPr>
          <w:lang w:eastAsia="de-DE"/>
        </w:rPr>
      </w:pPr>
      <w:r>
        <w:rPr>
          <w:lang w:eastAsia="de-DE"/>
        </w:rPr>
        <w:t xml:space="preserve">2018 wurden einen Monat nach der Ausbringung (14.4.2018) von allen mit Dianem®-behandelten Versuchsvarianten (Nematoden, Nematoden + Bakterien, Nematoden + Metarhizium) sowie den Varianten Metarhizium und der Unbehandelte Kontrolle </w:t>
      </w:r>
      <w:r w:rsidRPr="00302B23">
        <w:rPr>
          <w:lang w:eastAsia="de-DE"/>
        </w:rPr>
        <w:t>Erdproben</w:t>
      </w:r>
      <w:r>
        <w:rPr>
          <w:lang w:eastAsia="de-DE"/>
        </w:rPr>
        <w:t xml:space="preserve"> gezogen, um die Anwesenheit von Nematoden und P</w:t>
      </w:r>
      <w:r w:rsidR="00F36437">
        <w:rPr>
          <w:lang w:eastAsia="de-DE"/>
        </w:rPr>
        <w:t xml:space="preserve">ilz zu belegen. </w:t>
      </w:r>
      <w:r>
        <w:t xml:space="preserve">Für die Labortests nach Pilz wurden pro Parzelle </w:t>
      </w:r>
      <w:r w:rsidRPr="000E7FDF">
        <w:t xml:space="preserve">oben genannter Varianten je </w:t>
      </w:r>
      <w:r w:rsidRPr="000E7FDF">
        <w:rPr>
          <w:lang w:eastAsia="de-DE"/>
        </w:rPr>
        <w:t xml:space="preserve">eine Erd-Mischprobe á 10 x 100 ml gezogen. Im Labor wurden pro </w:t>
      </w:r>
      <w:r w:rsidRPr="000E7FDF">
        <w:rPr>
          <w:color w:val="auto"/>
          <w:lang w:eastAsia="de-DE"/>
        </w:rPr>
        <w:t xml:space="preserve">Mischprobe (= pro Parzelle) zwei Plastikdosen mit je 250 ml Erde befüllt. Insgesamt waren dies 6 x 2 WH für jede der vier behandelten Varianten und 6 x 1 WH der Unbehandelten Kontrolle für jedes der drei Versuchsfelder. Details der Methodik siehe Punkt </w:t>
      </w:r>
      <w:r w:rsidRPr="000E7FDF">
        <w:rPr>
          <w:color w:val="auto"/>
          <w:lang w:eastAsia="de-DE"/>
        </w:rPr>
        <w:fldChar w:fldCharType="begin"/>
      </w:r>
      <w:r w:rsidRPr="000E7FDF">
        <w:rPr>
          <w:color w:val="auto"/>
          <w:lang w:eastAsia="de-DE"/>
        </w:rPr>
        <w:instrText xml:space="preserve"> REF _Ref533060090 \r \h </w:instrText>
      </w:r>
      <w:r w:rsidR="00F36437" w:rsidRPr="000E7FDF">
        <w:rPr>
          <w:color w:val="auto"/>
          <w:lang w:eastAsia="de-DE"/>
        </w:rPr>
        <w:instrText xml:space="preserve"> \* MERGEFORMAT </w:instrText>
      </w:r>
      <w:r w:rsidRPr="000E7FDF">
        <w:rPr>
          <w:color w:val="auto"/>
          <w:lang w:eastAsia="de-DE"/>
        </w:rPr>
      </w:r>
      <w:r w:rsidRPr="000E7FDF">
        <w:rPr>
          <w:color w:val="auto"/>
          <w:lang w:eastAsia="de-DE"/>
        </w:rPr>
        <w:fldChar w:fldCharType="separate"/>
      </w:r>
      <w:r w:rsidR="00F36437" w:rsidRPr="000E7FDF">
        <w:rPr>
          <w:color w:val="auto"/>
          <w:lang w:eastAsia="de-DE"/>
        </w:rPr>
        <w:t>2.12.3</w:t>
      </w:r>
      <w:r w:rsidRPr="000E7FDF">
        <w:rPr>
          <w:color w:val="auto"/>
          <w:lang w:eastAsia="de-DE"/>
        </w:rPr>
        <w:fldChar w:fldCharType="end"/>
      </w:r>
      <w:r w:rsidRPr="000E7FDF">
        <w:rPr>
          <w:color w:val="auto"/>
          <w:lang w:eastAsia="de-DE"/>
        </w:rPr>
        <w:t xml:space="preserve"> *</w:t>
      </w:r>
      <w:r w:rsidRPr="000E7FDF">
        <w:rPr>
          <w:color w:val="auto"/>
        </w:rPr>
        <w:t>Persistenz und Virulenz ausgebrachter insektenpathogener Nematoden im Boden*.</w:t>
      </w:r>
    </w:p>
    <w:p w:rsidR="00402D84" w:rsidRPr="000E7FDF" w:rsidRDefault="00402D84" w:rsidP="00F36437">
      <w:pPr>
        <w:pStyle w:val="11Unterkapitel"/>
      </w:pPr>
      <w:bookmarkStart w:id="297" w:name="_Toc533059366"/>
      <w:bookmarkStart w:id="298" w:name="_Toc7715621"/>
      <w:r w:rsidRPr="000E7FDF">
        <w:t>Ergebnis Persistenztest</w:t>
      </w:r>
      <w:bookmarkEnd w:id="297"/>
      <w:r w:rsidRPr="000E7FDF">
        <w:t xml:space="preserve"> </w:t>
      </w:r>
      <w:r w:rsidR="00F36437" w:rsidRPr="000E7FDF">
        <w:t>Dianem®</w:t>
      </w:r>
      <w:bookmarkEnd w:id="298"/>
    </w:p>
    <w:p w:rsidR="00402D84" w:rsidRPr="00E06B13" w:rsidRDefault="00402D84" w:rsidP="00F36437">
      <w:pPr>
        <w:pStyle w:val="Flietext"/>
        <w:jc w:val="both"/>
      </w:pPr>
      <w:r w:rsidRPr="000E7FDF">
        <w:t xml:space="preserve">Das Vorkommen insektenpathogener Nematoden in den untersuchten Varianten des Kombinationsversuches konnte mit dem Persistenztest nach Pilz et al. (2014) mit einer Ausnahme (Feld 1/Siloacker: Kombination Bakterien und Nematoden; </w:t>
      </w:r>
      <w:r w:rsidRPr="000E7FDF">
        <w:rPr>
          <w:color w:val="FF0000"/>
        </w:rPr>
        <w:fldChar w:fldCharType="begin"/>
      </w:r>
      <w:r w:rsidRPr="000E7FDF">
        <w:instrText xml:space="preserve"> REF _Ref533059956 \h </w:instrText>
      </w:r>
      <w:r w:rsidR="00F36437" w:rsidRPr="000E7FDF">
        <w:rPr>
          <w:color w:val="FF0000"/>
        </w:rPr>
        <w:instrText xml:space="preserve"> \* MERGEFORMAT </w:instrText>
      </w:r>
      <w:r w:rsidRPr="000E7FDF">
        <w:rPr>
          <w:color w:val="FF0000"/>
        </w:rPr>
      </w:r>
      <w:r w:rsidRPr="000E7FDF">
        <w:rPr>
          <w:color w:val="FF0000"/>
        </w:rPr>
        <w:fldChar w:fldCharType="separate"/>
      </w:r>
      <w:r w:rsidRPr="000E7FDF">
        <w:t xml:space="preserve">Abbildung </w:t>
      </w:r>
      <w:r w:rsidRPr="000E7FDF">
        <w:rPr>
          <w:noProof/>
          <w:color w:val="auto"/>
        </w:rPr>
        <w:t>31</w:t>
      </w:r>
      <w:r w:rsidRPr="000E7FDF">
        <w:rPr>
          <w:color w:val="FF0000"/>
        </w:rPr>
        <w:fldChar w:fldCharType="end"/>
      </w:r>
      <w:r w:rsidRPr="000E7FDF">
        <w:t xml:space="preserve">) nachgewiesen werden. Überraschend war die Tatsache, dass auch in den UK der Felder Siloacker und Langacker nematodenbedingte Mortalität auftrat. Insbesondere, da in er Variante </w:t>
      </w:r>
      <w:r w:rsidRPr="000E7FDF">
        <w:rPr>
          <w:color w:val="auto"/>
        </w:rPr>
        <w:t>Metarhizium derselben Felder keine Nematodenaktivität nachgewiesen werden konnte (</w:t>
      </w:r>
      <w:r w:rsidRPr="000E7FDF">
        <w:rPr>
          <w:color w:val="auto"/>
        </w:rPr>
        <w:fldChar w:fldCharType="begin"/>
      </w:r>
      <w:r w:rsidRPr="000E7FDF">
        <w:rPr>
          <w:color w:val="auto"/>
        </w:rPr>
        <w:instrText xml:space="preserve"> REF _Ref533059956 \h </w:instrText>
      </w:r>
      <w:r w:rsidR="00F36437" w:rsidRPr="000E7FDF">
        <w:rPr>
          <w:color w:val="auto"/>
        </w:rPr>
        <w:instrText xml:space="preserve"> \* MERGEFORMAT </w:instrText>
      </w:r>
      <w:r w:rsidRPr="000E7FDF">
        <w:rPr>
          <w:color w:val="auto"/>
        </w:rPr>
      </w:r>
      <w:r w:rsidRPr="000E7FDF">
        <w:rPr>
          <w:color w:val="auto"/>
        </w:rPr>
        <w:fldChar w:fldCharType="separate"/>
      </w:r>
      <w:r w:rsidR="00F36437" w:rsidRPr="000E7FDF">
        <w:t xml:space="preserve">Abbildung </w:t>
      </w:r>
      <w:r w:rsidR="00F36437" w:rsidRPr="000E7FDF">
        <w:rPr>
          <w:noProof/>
          <w:color w:val="auto"/>
        </w:rPr>
        <w:t>65</w:t>
      </w:r>
      <w:r w:rsidRPr="000E7FDF">
        <w:rPr>
          <w:color w:val="auto"/>
        </w:rPr>
        <w:fldChar w:fldCharType="end"/>
      </w:r>
      <w:r w:rsidRPr="000E7FDF">
        <w:rPr>
          <w:color w:val="auto"/>
        </w:rPr>
        <w:t xml:space="preserve"> und </w:t>
      </w:r>
      <w:r w:rsidRPr="000E7FDF">
        <w:rPr>
          <w:color w:val="auto"/>
        </w:rPr>
        <w:fldChar w:fldCharType="begin"/>
      </w:r>
      <w:r w:rsidRPr="000E7FDF">
        <w:rPr>
          <w:color w:val="auto"/>
        </w:rPr>
        <w:instrText xml:space="preserve"> REF _Ref533060008 \h </w:instrText>
      </w:r>
      <w:r w:rsidR="00F36437" w:rsidRPr="000E7FDF">
        <w:rPr>
          <w:color w:val="auto"/>
        </w:rPr>
        <w:instrText xml:space="preserve"> \* MERGEFORMAT </w:instrText>
      </w:r>
      <w:r w:rsidRPr="000E7FDF">
        <w:rPr>
          <w:color w:val="auto"/>
        </w:rPr>
      </w:r>
      <w:r w:rsidRPr="000E7FDF">
        <w:rPr>
          <w:color w:val="auto"/>
        </w:rPr>
        <w:fldChar w:fldCharType="separate"/>
      </w:r>
      <w:r w:rsidR="00F36437" w:rsidRPr="000E7FDF">
        <w:rPr>
          <w:color w:val="auto"/>
        </w:rPr>
        <w:t xml:space="preserve">Abbildung </w:t>
      </w:r>
      <w:r w:rsidR="00F36437" w:rsidRPr="000E7FDF">
        <w:rPr>
          <w:noProof/>
          <w:color w:val="auto"/>
        </w:rPr>
        <w:t>67</w:t>
      </w:r>
      <w:r w:rsidRPr="000E7FDF">
        <w:rPr>
          <w:color w:val="auto"/>
        </w:rPr>
        <w:fldChar w:fldCharType="end"/>
      </w:r>
      <w:r w:rsidRPr="000E7FDF">
        <w:rPr>
          <w:color w:val="auto"/>
        </w:rPr>
        <w:t>). Statistisch lässt sich ein signifikanter Unterschied in der Gesamtmortalität</w:t>
      </w:r>
      <w:r w:rsidRPr="00A43CCE">
        <w:rPr>
          <w:color w:val="auto"/>
        </w:rPr>
        <w:t xml:space="preserve"> der Behandlungsvarianten </w:t>
      </w:r>
      <w:r w:rsidRPr="002C73E5">
        <w:rPr>
          <w:color w:val="auto"/>
        </w:rPr>
        <w:t>nachweisen, die in den Varianten Nematoden und Nematoden</w:t>
      </w:r>
      <w:r>
        <w:rPr>
          <w:color w:val="auto"/>
        </w:rPr>
        <w:t xml:space="preserve"> </w:t>
      </w:r>
      <w:r w:rsidRPr="002C73E5">
        <w:rPr>
          <w:color w:val="auto"/>
        </w:rPr>
        <w:t>+ Bakterien signifikant niedriger war</w:t>
      </w:r>
      <w:r>
        <w:rPr>
          <w:color w:val="auto"/>
        </w:rPr>
        <w:t>,</w:t>
      </w:r>
      <w:r w:rsidRPr="002C73E5">
        <w:rPr>
          <w:color w:val="auto"/>
        </w:rPr>
        <w:t xml:space="preserve"> als bei den Varianten Metarhizium, Nematoden</w:t>
      </w:r>
      <w:r>
        <w:rPr>
          <w:color w:val="auto"/>
        </w:rPr>
        <w:t xml:space="preserve"> </w:t>
      </w:r>
      <w:r w:rsidRPr="002C73E5">
        <w:rPr>
          <w:color w:val="auto"/>
        </w:rPr>
        <w:t>+</w:t>
      </w:r>
      <w:r>
        <w:rPr>
          <w:color w:val="auto"/>
        </w:rPr>
        <w:t xml:space="preserve"> </w:t>
      </w:r>
      <w:r w:rsidRPr="002C73E5">
        <w:rPr>
          <w:color w:val="auto"/>
        </w:rPr>
        <w:t xml:space="preserve">Metarhizium und der UK. </w:t>
      </w:r>
      <w:r w:rsidRPr="00E06B13">
        <w:t xml:space="preserve">Die höchsten Mortalitätsraten – sowohl in den behandelten Varianten, als auch in der UK – verursachten in Labortest Stämme des Pilzes Metarhizium. </w:t>
      </w:r>
      <w:r>
        <w:t>Die Mortalität durch den Pilz Metarhizium wies dieselben Signifikanzen wie die Gesamtmortalität auf. Die Auswertung der Mortalität durch Nematoden ergab hingegen keine signifikanten Werte.</w:t>
      </w:r>
    </w:p>
    <w:p w:rsidR="00402D84" w:rsidRDefault="00402D84" w:rsidP="00402D84">
      <w:pPr>
        <w:pStyle w:val="Flietext"/>
      </w:pPr>
      <w:r>
        <w:rPr>
          <w:noProof/>
          <w:lang w:eastAsia="de-AT"/>
        </w:rPr>
        <w:drawing>
          <wp:inline distT="0" distB="0" distL="0" distR="0" wp14:anchorId="61040207" wp14:editId="71CEA879">
            <wp:extent cx="4572000" cy="2971800"/>
            <wp:effectExtent l="0" t="0" r="0" b="0"/>
            <wp:docPr id="9292" name="Diagramm 9292" title="Larvenmortalität Versuchsfeld Siloacke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F36437" w:rsidRPr="00F36437" w:rsidRDefault="00402D84" w:rsidP="00F36437">
      <w:pPr>
        <w:pStyle w:val="Beschriftung"/>
        <w:rPr>
          <w:color w:val="auto"/>
        </w:rPr>
      </w:pPr>
      <w:bookmarkStart w:id="299" w:name="_Ref533059956"/>
      <w:bookmarkStart w:id="300" w:name="_Toc533059409"/>
      <w:bookmarkStart w:id="301" w:name="_Toc7715453"/>
      <w:r>
        <w:t xml:space="preserve">Abbildung </w:t>
      </w:r>
      <w:r w:rsidRPr="009F08A5">
        <w:rPr>
          <w:noProof/>
          <w:color w:val="auto"/>
        </w:rPr>
        <w:fldChar w:fldCharType="begin"/>
      </w:r>
      <w:r w:rsidRPr="009F08A5">
        <w:rPr>
          <w:noProof/>
          <w:color w:val="auto"/>
        </w:rPr>
        <w:instrText xml:space="preserve"> SEQ Abbildung \* ARABIC </w:instrText>
      </w:r>
      <w:r w:rsidRPr="009F08A5">
        <w:rPr>
          <w:noProof/>
          <w:color w:val="auto"/>
        </w:rPr>
        <w:fldChar w:fldCharType="separate"/>
      </w:r>
      <w:r w:rsidR="00F36437">
        <w:rPr>
          <w:noProof/>
          <w:color w:val="auto"/>
        </w:rPr>
        <w:t>65</w:t>
      </w:r>
      <w:r w:rsidRPr="009F08A5">
        <w:rPr>
          <w:noProof/>
          <w:color w:val="auto"/>
        </w:rPr>
        <w:fldChar w:fldCharType="end"/>
      </w:r>
      <w:bookmarkEnd w:id="299"/>
      <w:r w:rsidRPr="009F08A5">
        <w:rPr>
          <w:color w:val="auto"/>
        </w:rPr>
        <w:t>: Ursachen der Larvalmortalität von T. molitor-Larven im Persistenztest nach Pilz am Standort Siloacker</w:t>
      </w:r>
      <w:bookmarkEnd w:id="300"/>
      <w:bookmarkEnd w:id="301"/>
    </w:p>
    <w:p w:rsidR="0098503C" w:rsidRPr="0098503C" w:rsidRDefault="00402D84" w:rsidP="005746AF">
      <w:pPr>
        <w:pStyle w:val="Beschriftung"/>
        <w:ind w:left="0"/>
      </w:pPr>
      <w:r>
        <w:rPr>
          <w:noProof/>
          <w:lang w:eastAsia="de-AT"/>
        </w:rPr>
        <w:drawing>
          <wp:inline distT="0" distB="0" distL="0" distR="0">
            <wp:extent cx="4572000" cy="2857500"/>
            <wp:effectExtent l="0" t="0" r="0" b="0"/>
            <wp:docPr id="9293" name="Diagramm 9293" title="Larvenmortalität Versuchsfeld Gomboc"/>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bookmarkStart w:id="302" w:name="_Toc533059410"/>
    </w:p>
    <w:p w:rsidR="00F36437" w:rsidRPr="009F08A5" w:rsidRDefault="00F36437" w:rsidP="00F36437">
      <w:pPr>
        <w:pStyle w:val="Beschriftung"/>
        <w:rPr>
          <w:color w:val="auto"/>
        </w:rPr>
      </w:pPr>
      <w:bookmarkStart w:id="303" w:name="_Toc7715454"/>
      <w:r>
        <w:t xml:space="preserve">Abbildung </w:t>
      </w:r>
      <w:r w:rsidRPr="009F08A5">
        <w:rPr>
          <w:noProof/>
          <w:color w:val="auto"/>
        </w:rPr>
        <w:fldChar w:fldCharType="begin"/>
      </w:r>
      <w:r w:rsidRPr="009F08A5">
        <w:rPr>
          <w:noProof/>
          <w:color w:val="auto"/>
        </w:rPr>
        <w:instrText xml:space="preserve"> SEQ Abbildung \* ARABIC </w:instrText>
      </w:r>
      <w:r w:rsidRPr="009F08A5">
        <w:rPr>
          <w:noProof/>
          <w:color w:val="auto"/>
        </w:rPr>
        <w:fldChar w:fldCharType="separate"/>
      </w:r>
      <w:r>
        <w:rPr>
          <w:noProof/>
          <w:color w:val="auto"/>
        </w:rPr>
        <w:t>66</w:t>
      </w:r>
      <w:r w:rsidRPr="009F08A5">
        <w:rPr>
          <w:noProof/>
          <w:color w:val="auto"/>
        </w:rPr>
        <w:fldChar w:fldCharType="end"/>
      </w:r>
      <w:r w:rsidRPr="009F08A5">
        <w:rPr>
          <w:color w:val="auto"/>
        </w:rPr>
        <w:t>: Ursachen der Larvalmortalität von T. molitor-Larven im Persistenztest nach Pilz am Standort Gomboc</w:t>
      </w:r>
      <w:bookmarkEnd w:id="302"/>
      <w:bookmarkEnd w:id="303"/>
    </w:p>
    <w:p w:rsidR="00402D84" w:rsidRDefault="00402D84" w:rsidP="00402D84">
      <w:pPr>
        <w:pStyle w:val="Flietext"/>
      </w:pPr>
    </w:p>
    <w:p w:rsidR="00402D84" w:rsidRDefault="00402D84" w:rsidP="00402D84">
      <w:pPr>
        <w:pStyle w:val="Flietext"/>
      </w:pPr>
      <w:r>
        <w:rPr>
          <w:noProof/>
          <w:lang w:eastAsia="de-AT"/>
        </w:rPr>
        <w:drawing>
          <wp:inline distT="0" distB="0" distL="0" distR="0" wp14:anchorId="297AC36A" wp14:editId="65A7888E">
            <wp:extent cx="4572000" cy="2847975"/>
            <wp:effectExtent l="0" t="0" r="0" b="9525"/>
            <wp:docPr id="9294" name="Diagramm 9294" title="Larvenmortalität"/>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402D84" w:rsidRPr="009F08A5" w:rsidRDefault="00402D84" w:rsidP="00402D84">
      <w:pPr>
        <w:pStyle w:val="Beschriftung"/>
        <w:rPr>
          <w:color w:val="auto"/>
        </w:rPr>
      </w:pPr>
      <w:bookmarkStart w:id="304" w:name="_Ref533060008"/>
      <w:bookmarkStart w:id="305" w:name="_Toc533059411"/>
      <w:bookmarkStart w:id="306" w:name="_Toc7715455"/>
      <w:r w:rsidRPr="009F08A5">
        <w:rPr>
          <w:color w:val="auto"/>
        </w:rPr>
        <w:t xml:space="preserve">Abbildung </w:t>
      </w:r>
      <w:r w:rsidRPr="009F08A5">
        <w:rPr>
          <w:noProof/>
          <w:color w:val="auto"/>
        </w:rPr>
        <w:fldChar w:fldCharType="begin"/>
      </w:r>
      <w:r w:rsidRPr="009F08A5">
        <w:rPr>
          <w:noProof/>
          <w:color w:val="auto"/>
        </w:rPr>
        <w:instrText xml:space="preserve"> SEQ Abbildung \* ARABIC </w:instrText>
      </w:r>
      <w:r w:rsidRPr="009F08A5">
        <w:rPr>
          <w:noProof/>
          <w:color w:val="auto"/>
        </w:rPr>
        <w:fldChar w:fldCharType="separate"/>
      </w:r>
      <w:r w:rsidR="00F36437">
        <w:rPr>
          <w:noProof/>
          <w:color w:val="auto"/>
        </w:rPr>
        <w:t>67</w:t>
      </w:r>
      <w:r w:rsidRPr="009F08A5">
        <w:rPr>
          <w:noProof/>
          <w:color w:val="auto"/>
        </w:rPr>
        <w:fldChar w:fldCharType="end"/>
      </w:r>
      <w:bookmarkEnd w:id="304"/>
      <w:r w:rsidRPr="009F08A5">
        <w:rPr>
          <w:color w:val="auto"/>
        </w:rPr>
        <w:t>: Ursachen der Larvalmortalität von T. molitor-Larven im Persistenztest nach Pilz am Standort Langacker</w:t>
      </w:r>
      <w:bookmarkEnd w:id="305"/>
      <w:bookmarkEnd w:id="306"/>
    </w:p>
    <w:p w:rsidR="00402D84" w:rsidRPr="00490DAE" w:rsidRDefault="00402D84" w:rsidP="00490DAE">
      <w:pPr>
        <w:pStyle w:val="Flietext"/>
        <w:jc w:val="both"/>
        <w:rPr>
          <w:color w:val="auto"/>
          <w:lang w:val="de-DE"/>
        </w:rPr>
      </w:pPr>
      <w:r w:rsidRPr="00A965D4">
        <w:rPr>
          <w:color w:val="auto"/>
          <w:lang w:val="de-DE"/>
        </w:rPr>
        <w:t xml:space="preserve">Trotz niedrigen Mortalitätsraten durch insektenpathogene Nematoden und statistisch belegter höchster Mortalitätswerte durch den Pilz </w:t>
      </w:r>
      <w:r w:rsidRPr="00A965D4">
        <w:rPr>
          <w:i/>
          <w:color w:val="auto"/>
          <w:lang w:val="de-DE"/>
        </w:rPr>
        <w:t>Metarhizium</w:t>
      </w:r>
      <w:r w:rsidRPr="00A965D4">
        <w:rPr>
          <w:color w:val="auto"/>
          <w:lang w:val="de-DE"/>
        </w:rPr>
        <w:t xml:space="preserve"> spp. zeigte der Vergleich der Käferschlupfraten derselben Varianten die geringsten Zahlen an geschlüpften Käfern in den Varianten Dianem und Metarhizium bzw. der Kombination beider Produkte. So scheinen die Nematoden durch ihre Beweglichkeit und der Möglichkeit zur aktiven Suche des Wirtes die – in den Mortalitätstest nachgewiesenen – höheren Mortalitätsraten durch den Pilz im Freiland besser ausgleichen zu können. </w:t>
      </w:r>
    </w:p>
    <w:p w:rsidR="00FC4E50" w:rsidRPr="00FC4E50" w:rsidRDefault="00FC4E50" w:rsidP="00A965D4">
      <w:pPr>
        <w:pStyle w:val="1Unterkapitel"/>
      </w:pPr>
      <w:bookmarkStart w:id="307" w:name="_Toc7715622"/>
      <w:r>
        <w:rPr>
          <w:rStyle w:val="Einleitung"/>
        </w:rPr>
        <w:t xml:space="preserve">Applikation des Stressschutz-Bakteriums </w:t>
      </w:r>
      <w:r w:rsidRPr="00FC4E50">
        <w:rPr>
          <w:rStyle w:val="Einleitung"/>
          <w:i/>
        </w:rPr>
        <w:t>Stenotrophomonas Rhizophila</w:t>
      </w:r>
      <w:bookmarkEnd w:id="307"/>
    </w:p>
    <w:p w:rsidR="00CF0C18" w:rsidRDefault="008611B3" w:rsidP="00490DAE">
      <w:pPr>
        <w:pStyle w:val="Flietext"/>
        <w:jc w:val="both"/>
      </w:pPr>
      <w:r>
        <w:t xml:space="preserve">Der Feldversuch 2018 wurde als Reihenversuch an drei Standorten in der Steiermark angelegt. Mit dem Ziel, eine synergistische Wirkung zu erreichen, wurden die mit </w:t>
      </w:r>
      <w:r w:rsidRPr="00CC40FF">
        <w:rPr>
          <w:i/>
        </w:rPr>
        <w:t>S. rhizophila</w:t>
      </w:r>
      <w:r>
        <w:rPr>
          <w:i/>
        </w:rPr>
        <w:t>-</w:t>
      </w:r>
      <w:r w:rsidRPr="006F049C">
        <w:t>i</w:t>
      </w:r>
      <w:r>
        <w:t xml:space="preserve">nokulierten Samen in Kombination mit </w:t>
      </w:r>
      <w:r w:rsidRPr="000E7FDF">
        <w:t xml:space="preserve">Präparaten ausgebracht, die auf Nematoden und Metarhizium basierten. Da das Bakterium keinen direkten Effekt auf den Schaderreger hat, beschränken sich die hier dargestellten Resultate auf den Ernteertrag (Abbildung </w:t>
      </w:r>
      <w:r w:rsidR="00A965D4" w:rsidRPr="000E7FDF">
        <w:t>68</w:t>
      </w:r>
      <w:r w:rsidRPr="000E7FDF">
        <w:t>). Im Vergleich</w:t>
      </w:r>
      <w:r>
        <w:t xml:space="preserve"> zu den anderen Versuchsvarianten wurden bei der alleinigen Applikation von </w:t>
      </w:r>
      <w:r w:rsidRPr="003E76E0">
        <w:rPr>
          <w:i/>
        </w:rPr>
        <w:t>S. rhizophila</w:t>
      </w:r>
      <w:r w:rsidRPr="003E76E0">
        <w:t xml:space="preserve"> </w:t>
      </w:r>
      <w:r>
        <w:t xml:space="preserve">geringere Kornerträge erfasst. Der Anstieg des Erntegewichts in den Kombinationsvarianten lässt dennoch nicht auf ein Zusammenwirken der eingesetzten Organismen schließen, da mit den jeweiligen Einzelanwendungen von Nematoden bzw. </w:t>
      </w:r>
      <w:r w:rsidRPr="00D242DD">
        <w:t>Metarhizium</w:t>
      </w:r>
      <w:r>
        <w:t xml:space="preserve"> ein ähnliches Ertragsniveau erreicht wurde.</w:t>
      </w:r>
    </w:p>
    <w:p w:rsidR="00CF0C18" w:rsidRDefault="00CF0C18" w:rsidP="00CF0C18">
      <w:pPr>
        <w:pStyle w:val="Beschriftung"/>
      </w:pPr>
      <w:r>
        <w:rPr>
          <w:noProof/>
          <w:lang w:eastAsia="de-AT"/>
        </w:rPr>
        <w:drawing>
          <wp:inline distT="0" distB="0" distL="0" distR="0" wp14:anchorId="672EA1A0" wp14:editId="02FB6280">
            <wp:extent cx="4248150" cy="2903687"/>
            <wp:effectExtent l="0" t="0" r="0" b="0"/>
            <wp:docPr id="39" name="Grafik 39" title="Effekt der Behandlung mit S. rhizophilla allein und in Kombination mit Nematoden oder Metarhizium auf den Ertr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255163" cy="2908481"/>
                    </a:xfrm>
                    <a:prstGeom prst="rect">
                      <a:avLst/>
                    </a:prstGeom>
                    <a:noFill/>
                  </pic:spPr>
                </pic:pic>
              </a:graphicData>
            </a:graphic>
          </wp:inline>
        </w:drawing>
      </w:r>
    </w:p>
    <w:p w:rsidR="00CF0C18" w:rsidRPr="00D242DD" w:rsidRDefault="00CF0C18" w:rsidP="00CF0C18">
      <w:pPr>
        <w:pStyle w:val="Beschriftung"/>
      </w:pPr>
      <w:bookmarkStart w:id="308" w:name="_Toc532525914"/>
      <w:bookmarkStart w:id="309" w:name="_Toc7715456"/>
      <w:r>
        <w:t xml:space="preserve">Abbildung </w:t>
      </w:r>
      <w:fldSimple w:instr=" SEQ Abbildung \* ARABIC ">
        <w:r w:rsidR="00A965D4">
          <w:rPr>
            <w:noProof/>
          </w:rPr>
          <w:t>68</w:t>
        </w:r>
      </w:fldSimple>
      <w:r>
        <w:t>: Versuchsjahr 2018:</w:t>
      </w:r>
      <w:r w:rsidRPr="0076031B">
        <w:t xml:space="preserve"> Effekt der Behandlung mit S. rhizophila </w:t>
      </w:r>
      <w:r>
        <w:t>allein und in Kombination mit Nematoden oder Metarhizium auf den Ernteertrag an drei Standorten in der Steiermark.</w:t>
      </w:r>
      <w:bookmarkEnd w:id="308"/>
      <w:bookmarkEnd w:id="309"/>
    </w:p>
    <w:p w:rsidR="008611B3" w:rsidRDefault="008611B3" w:rsidP="00A965D4">
      <w:pPr>
        <w:pStyle w:val="Flietext"/>
        <w:jc w:val="both"/>
      </w:pPr>
      <w:r>
        <w:t xml:space="preserve">Anhand der Ergebnisse der mehrjährigen Feldversuche konnte das ertragsteigernde Potential von </w:t>
      </w:r>
      <w:r w:rsidRPr="00D122E2">
        <w:rPr>
          <w:i/>
        </w:rPr>
        <w:t>S. rhizophila</w:t>
      </w:r>
      <w:r>
        <w:t xml:space="preserve"> demonstriert werden. Dieser Effekt ließ sich nicht nur im Zusammenhang mit Schädigungen durch den Maiswurzelbohrer nachweisen, sondern konnte auch an Standorten mit geringem oder fehlendem Befallsdruck bestätigt werden. Insbesondere im Versuchsjahr 2015 in dem die Maispflanzen an beiden Standorten extremer Witterung in Form von Hitze und Trockenheit ausgesetzt waren, wurde die Eignung des Stammes als Stressschutz-Bakterium deutlich. Gerade in der wichtigen Phase der Anbauperiode innerhalb der ersten Wochen nach der Aussaat resultierte die Saatgutinokulation mit </w:t>
      </w:r>
      <w:r w:rsidRPr="00473F63">
        <w:rPr>
          <w:i/>
        </w:rPr>
        <w:t>S. rhizophila</w:t>
      </w:r>
      <w:r>
        <w:t xml:space="preserve"> in positive Effekte in Form von gesteigerten Keimraten und höheren Frischgewichten von Jungpflanzen. Die Untersuchungen belegten einen</w:t>
      </w:r>
      <w:r w:rsidRPr="0023724D">
        <w:t xml:space="preserve"> </w:t>
      </w:r>
      <w:r>
        <w:t xml:space="preserve">Einfluss des Standortes sowie der verwendeten Maissorte und können den ausbleibenden Effekt im letzten Versuch 2018 erklären, der lokal sehr begrenzt war und im Vergleich zu den Jahren 2015 bis 2017 mit einem anderen Maiskultivar durchgeführt wurde. </w:t>
      </w:r>
    </w:p>
    <w:p w:rsidR="008611B3" w:rsidRDefault="008611B3" w:rsidP="00A965D4">
      <w:pPr>
        <w:pStyle w:val="11Unterkapitel"/>
      </w:pPr>
      <w:bookmarkStart w:id="310" w:name="_Toc532526332"/>
      <w:bookmarkStart w:id="311" w:name="_Toc7715623"/>
      <w:r w:rsidRPr="00760838">
        <w:t>Formul</w:t>
      </w:r>
      <w:r>
        <w:t xml:space="preserve">ierung von S. rhizophila </w:t>
      </w:r>
      <w:r w:rsidRPr="00760838">
        <w:t>für die Saatgutbeschichtung</w:t>
      </w:r>
      <w:bookmarkEnd w:id="310"/>
      <w:bookmarkEnd w:id="311"/>
    </w:p>
    <w:p w:rsidR="008611B3" w:rsidRDefault="008611B3" w:rsidP="00A965D4">
      <w:pPr>
        <w:pStyle w:val="Flietext"/>
        <w:jc w:val="both"/>
      </w:pPr>
      <w:r w:rsidRPr="00760838">
        <w:t xml:space="preserve">Im Versuchsmaßstab ist die Applikation von mikrobiellen Stämmen ans Saatgut mittels Infiltration in einem Tauchbad eine effiziente und gut zu kontrollierende Methode. Da die Technik, ähnlich dem Priming, eine Wasseraufnahme und anschließende Rücktrocknung der Samen bedeutet, ist sie für die Saatgutbehandlung in der Praxis nicht geeignet. Praxisrelevant dagegen ist die Saatgutbeschichtung, die meist auch als Anwendungsform für mikrobieller Präparate gefordert wird. Formulierungen, die die Applikation von Bakterien an die äußere Samenschicht ermöglichen, erfordern eine Stabilisierung und Schutz vitaler Zellen gegenüber einer Vielzahl von Stressmomenten, wie Austrocknung, Hitze und Chemikalien. Am Institut für Umweltbiotechnologie steht eine Formulierungstechnologie für sensitive Gram-negative Bakterien zur Verfügung, die die Herstellung eines robusten Granulates mit hoher Zellstabilität erlaubt. Diese Methode wurde erfolgreich an </w:t>
      </w:r>
      <w:r w:rsidRPr="00F54398">
        <w:rPr>
          <w:i/>
        </w:rPr>
        <w:t>S. rhizophila</w:t>
      </w:r>
      <w:r w:rsidRPr="00CC40FF">
        <w:t xml:space="preserve"> </w:t>
      </w:r>
      <w:r w:rsidRPr="00760838">
        <w:t>angepasst und resultierte in ein Präparat, welches über einen Lagerzeitraum von mindestens 30 Wochen eine stabile Anzahl an vitalen Bakterien von etwa 10</w:t>
      </w:r>
      <w:r w:rsidRPr="00D06A3E">
        <w:rPr>
          <w:vertAlign w:val="superscript"/>
        </w:rPr>
        <w:t>11</w:t>
      </w:r>
      <w:r w:rsidR="00A965D4">
        <w:t xml:space="preserve"> </w:t>
      </w:r>
      <w:r w:rsidRPr="00760838">
        <w:t>g</w:t>
      </w:r>
      <w:r w:rsidRPr="00D06A3E">
        <w:rPr>
          <w:vertAlign w:val="superscript"/>
        </w:rPr>
        <w:t>-1</w:t>
      </w:r>
      <w:r w:rsidRPr="00760838">
        <w:t xml:space="preserve"> enthielt. Das Präparat kann zusammen mit gängigen Agenzien und Techniken zur Saatgutbehandlung appliziert werden und wurde im Rahmen des Projektes zur Inokulation des Saatguts für die Feldversuche </w:t>
      </w:r>
      <w:r>
        <w:t xml:space="preserve">im Jahr 2017 </w:t>
      </w:r>
      <w:r w:rsidRPr="00760838">
        <w:t xml:space="preserve">bereits eingesetzt. </w:t>
      </w:r>
    </w:p>
    <w:p w:rsidR="008611B3" w:rsidRDefault="008611B3" w:rsidP="008611B3">
      <w:pPr>
        <w:pStyle w:val="Flietext"/>
      </w:pPr>
    </w:p>
    <w:p w:rsidR="008611B3" w:rsidRPr="00760838" w:rsidRDefault="008611B3" w:rsidP="00A965D4">
      <w:pPr>
        <w:pStyle w:val="11Unterkapitel"/>
      </w:pPr>
      <w:bookmarkStart w:id="312" w:name="_Toc532526333"/>
      <w:bookmarkStart w:id="313" w:name="_Toc7715624"/>
      <w:r w:rsidRPr="00760838">
        <w:t>Untersuchungen zur Rhizosphärenkompetenz unter Feldbedingungen</w:t>
      </w:r>
      <w:bookmarkEnd w:id="312"/>
      <w:bookmarkEnd w:id="313"/>
    </w:p>
    <w:p w:rsidR="00CF0C18" w:rsidRPr="000E3737" w:rsidRDefault="008611B3" w:rsidP="00A965D4">
      <w:pPr>
        <w:pStyle w:val="Flietext"/>
        <w:jc w:val="both"/>
      </w:pPr>
      <w:r>
        <w:t xml:space="preserve">Da die Verwendung von gentechnisch markierten Stämmen im Freiland nicht möglich ist, um die Kolonisierung unter Feldbedingungen zu untersuchen, etablierten wir ein Konzept zur Stamm-spezifischen Quantifizierung des Wildtyps auf Basis einer molekularen Sonde. Zu diesem Zweck wurden sämtliche öffentlich zugängliche Genomsequenzen der Gattung </w:t>
      </w:r>
      <w:r w:rsidRPr="00F54398">
        <w:rPr>
          <w:i/>
        </w:rPr>
        <w:t>Stenotrophomonas</w:t>
      </w:r>
      <w:r>
        <w:t xml:space="preserve"> (n=21) dem Genom des in diesem Projekt verwendeten Stammes gegenübergestellt. Mit dem Ziel Sequenzregionen zu selektieren, die ausschließlich im unserem </w:t>
      </w:r>
      <w:r w:rsidRPr="00F54398">
        <w:rPr>
          <w:i/>
        </w:rPr>
        <w:t>S. rhizophila</w:t>
      </w:r>
      <w:r>
        <w:t xml:space="preserve">-Isolat vorkommen und gleichzeitig zum Design einer für die Methode der quantitativen Echtzeit-PCR geeignet sind, konnten wir drei potentielle Abschnitte identifizierten. Für diese Regionen wurden jeweils ein flankierendes Primerpaar sowie eine TaqMan-Sonde für eine Nukleotidsequenz innerhalb des Zielabschnittes </w:t>
      </w:r>
      <w:r w:rsidRPr="000E7FDF">
        <w:t xml:space="preserve">konstruiert. Diese drei Varianten wurden in vitro an acht </w:t>
      </w:r>
      <w:r w:rsidRPr="000E7FDF">
        <w:rPr>
          <w:i/>
        </w:rPr>
        <w:t>Stenotrophomonas</w:t>
      </w:r>
      <w:r w:rsidRPr="000E7FDF">
        <w:t xml:space="preserve">-Stämmen aus der institutseigenen Stammsammlung auf ihre Spezifität getestet. Eine der drei Primer-Sonden-Kombinationen erwies sich selektiv für den Projekt-Stamm und wurde zur Ermittlung der Zelldichte in den Feldproben der Versuchsjahre 2015 und 2016 appliziert. Abbildung </w:t>
      </w:r>
      <w:r w:rsidR="00A965D4" w:rsidRPr="000E7FDF">
        <w:t>69</w:t>
      </w:r>
      <w:r w:rsidRPr="000E7FDF">
        <w:t xml:space="preserve"> zeigt die Ergebnisse der Bestimmung der Zellzahlen mit Hilfe der entwickelten spezifischen molekularen Sonde</w:t>
      </w:r>
      <w:r>
        <w:t xml:space="preserve"> und einer TaqMan-basierten quantitativen Echtzeit-PCR. Die Werte belegen eine erfolgreiche Etablierung von </w:t>
      </w:r>
      <w:r w:rsidRPr="00F54398">
        <w:rPr>
          <w:i/>
        </w:rPr>
        <w:t>S. rhizophila</w:t>
      </w:r>
      <w:r w:rsidRPr="00CC40FF">
        <w:t xml:space="preserve"> </w:t>
      </w:r>
      <w:r>
        <w:t>an den Wurzeln der inokulierten Varianten. Am Standort Mitterdorf wurden log10 3,54 Zellen je Gramm Wurzel nachgewiesen, während eine höhere Zelldichte in Melk (log10 5,4 Gen-Kopien g</w:t>
      </w:r>
      <w:r w:rsidRPr="00F54398">
        <w:rPr>
          <w:vertAlign w:val="superscript"/>
        </w:rPr>
        <w:t>-1</w:t>
      </w:r>
      <w:r>
        <w:t xml:space="preserve"> Wurzelmasse) detektiert wurde.</w:t>
      </w:r>
    </w:p>
    <w:p w:rsidR="00CF0C18" w:rsidRDefault="00CF0C18" w:rsidP="00CF0C18">
      <w:pPr>
        <w:pStyle w:val="Beschriftung"/>
      </w:pPr>
      <w:r>
        <w:rPr>
          <w:noProof/>
          <w:lang w:eastAsia="de-AT"/>
        </w:rPr>
        <w:drawing>
          <wp:inline distT="0" distB="0" distL="0" distR="0" wp14:anchorId="00FE8725" wp14:editId="3F93443A">
            <wp:extent cx="4254500" cy="2552603"/>
            <wp:effectExtent l="0" t="0" r="0" b="635"/>
            <wp:docPr id="40" name="Grafik 40" title="Ergebnisse der quantitativen Echtzeit-P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273366" cy="2563922"/>
                    </a:xfrm>
                    <a:prstGeom prst="rect">
                      <a:avLst/>
                    </a:prstGeom>
                    <a:noFill/>
                  </pic:spPr>
                </pic:pic>
              </a:graphicData>
            </a:graphic>
          </wp:inline>
        </w:drawing>
      </w:r>
    </w:p>
    <w:p w:rsidR="00CF0C18" w:rsidRDefault="00CF0C18" w:rsidP="00A965D4">
      <w:pPr>
        <w:pStyle w:val="Beschriftung"/>
        <w:jc w:val="both"/>
      </w:pPr>
      <w:bookmarkStart w:id="314" w:name="_Toc532525915"/>
      <w:bookmarkStart w:id="315" w:name="_Toc7715457"/>
      <w:r>
        <w:t xml:space="preserve">Abbildung </w:t>
      </w:r>
      <w:fldSimple w:instr=" SEQ Abbildung \* ARABIC ">
        <w:r w:rsidR="00A965D4">
          <w:rPr>
            <w:noProof/>
          </w:rPr>
          <w:t>69</w:t>
        </w:r>
      </w:fldSimple>
      <w:r>
        <w:t xml:space="preserve">: </w:t>
      </w:r>
      <w:r w:rsidRPr="00C9135E">
        <w:t>Ergebnisse der quantitativen Echtzeit-PCR mit Stamm-spezifischer Sonde: Besiedlungsdichte von S. rhizophila an den Wurzeln von inokulierten Maispflanzen im Vergleich zur nicht inokulierten Variante und zum nicht durchwurzelten Boden.</w:t>
      </w:r>
      <w:bookmarkEnd w:id="314"/>
      <w:bookmarkEnd w:id="315"/>
    </w:p>
    <w:p w:rsidR="008611B3" w:rsidRDefault="008611B3" w:rsidP="008611B3">
      <w:pPr>
        <w:pStyle w:val="Flietext"/>
      </w:pPr>
    </w:p>
    <w:p w:rsidR="008611B3" w:rsidRDefault="008611B3" w:rsidP="00A965D4">
      <w:pPr>
        <w:pStyle w:val="11Unterkapitel"/>
      </w:pPr>
      <w:bookmarkStart w:id="316" w:name="_Toc532526334"/>
      <w:bookmarkStart w:id="317" w:name="_Toc7715625"/>
      <w:r w:rsidRPr="00EA17A9">
        <w:t>Analyse des wurzelassoziierten Mikrobioms</w:t>
      </w:r>
      <w:bookmarkEnd w:id="316"/>
      <w:bookmarkEnd w:id="317"/>
    </w:p>
    <w:p w:rsidR="00CF0C18" w:rsidRDefault="008611B3" w:rsidP="00057AF1">
      <w:pPr>
        <w:pStyle w:val="Flietext"/>
        <w:jc w:val="both"/>
      </w:pPr>
      <w:r>
        <w:t xml:space="preserve">Im Rahmen der Feldversuche wurden die Rhizosphären-Mikrobiome der unterschiedlich behandelten Maispflanzen auf Basis von 16S rRNA Sequenzen für Bakterien sowie auf Basis von Sequenzen der ITS Region für Pilze analysiert. Die Datensätze dienen als wichtige Information zur Ökologie der Mais-assoziierten Mikroorganismen, zum Einfluss der Inokulation mit </w:t>
      </w:r>
      <w:r w:rsidRPr="00F54398">
        <w:rPr>
          <w:i/>
        </w:rPr>
        <w:t>S. rhizophila</w:t>
      </w:r>
      <w:r w:rsidRPr="00F54398">
        <w:t xml:space="preserve"> </w:t>
      </w:r>
      <w:r>
        <w:t xml:space="preserve">auf die mikrobiellen Gemeinschaften sowie </w:t>
      </w:r>
      <w:r w:rsidRPr="000E7FDF">
        <w:t xml:space="preserve">zum Einfluss des Standortes auf die Wirkung von </w:t>
      </w:r>
      <w:r w:rsidRPr="000E7FDF">
        <w:rPr>
          <w:i/>
        </w:rPr>
        <w:t>S. rhizophila</w:t>
      </w:r>
      <w:r w:rsidRPr="000E7FDF">
        <w:t xml:space="preserve"> liefern. Die Ergebnisse belegen, dass der Standort ein wesentlicher Faktor für die Zusammensetzung der mikrobiellen Rhizosphärengemeinschaft ist (Abbildung </w:t>
      </w:r>
      <w:r w:rsidR="00057AF1" w:rsidRPr="000E7FDF">
        <w:t>70</w:t>
      </w:r>
      <w:r w:rsidRPr="000E7FDF">
        <w:t xml:space="preserve"> und </w:t>
      </w:r>
      <w:r w:rsidR="00057AF1" w:rsidRPr="000E7FDF">
        <w:t>72</w:t>
      </w:r>
      <w:r w:rsidRPr="000E7FDF">
        <w:t>). Sowohl die</w:t>
      </w:r>
      <w:r>
        <w:t xml:space="preserve"> Bakterien- als auch Pilzgemeinschaften der beiden analysierten Standorte bilden distinkte Gruppen. Eine Separation der Mikrobiome innerhalb der Varianten am gleichen Standort ist nicht erkennbar </w:t>
      </w:r>
      <w:r w:rsidRPr="000E7FDF">
        <w:t xml:space="preserve">und deutet darauf hin, dass </w:t>
      </w:r>
      <w:r w:rsidRPr="000E7FDF">
        <w:rPr>
          <w:i/>
        </w:rPr>
        <w:t>S. rhizophila</w:t>
      </w:r>
      <w:r w:rsidRPr="000E7FDF">
        <w:t xml:space="preserve"> die autochthone Mikroflora nicht beeinflusst. Zwischen den Varianten eines Standortes sind auch auf der taxonomischen Ebene des Phylums keine Unterschiede ersichtlich (Abbildung </w:t>
      </w:r>
      <w:r w:rsidR="00057AF1" w:rsidRPr="000E7FDF">
        <w:t>71</w:t>
      </w:r>
      <w:r w:rsidRPr="000E7FDF">
        <w:t xml:space="preserve"> und </w:t>
      </w:r>
      <w:r w:rsidR="00057AF1" w:rsidRPr="000E7FDF">
        <w:t>73</w:t>
      </w:r>
      <w:r w:rsidRPr="000E7FDF">
        <w:t xml:space="preserve">). Die mit der Maiswurzel assoziierten bakteriellen Populationen werden sowohl in Melk als auch in Mitterdorf von Proteobakterien dominiert, gefolgt von Actinobakterien und Acidobakterien (Abbildung </w:t>
      </w:r>
      <w:r w:rsidR="00057AF1" w:rsidRPr="000E7FDF">
        <w:t>71</w:t>
      </w:r>
      <w:r w:rsidRPr="000E7FDF">
        <w:t xml:space="preserve">). Hingegen unterscheidet sich die Struktur der Pilzgemeinschaften wesentlich voneinander. Während in Melk Ascomyceten vorherrschend sind, werden die Wurzeln der Maispflanzen in Mitterdorf vorrangig von den saprophytisch lebenden Chytridiomyceten besiedelt (Abbildung </w:t>
      </w:r>
      <w:r w:rsidR="00057AF1" w:rsidRPr="000E7FDF">
        <w:t>73</w:t>
      </w:r>
      <w:r w:rsidRPr="000E7FDF">
        <w:t>).</w:t>
      </w:r>
      <w:r>
        <w:t xml:space="preserve"> </w:t>
      </w:r>
    </w:p>
    <w:p w:rsidR="00546B80" w:rsidRPr="000E3737" w:rsidRDefault="00546B80" w:rsidP="00CF0C18">
      <w:pPr>
        <w:pStyle w:val="Flietext"/>
      </w:pPr>
    </w:p>
    <w:p w:rsidR="00CF0C18" w:rsidRDefault="00CF0C18" w:rsidP="00CF0C18">
      <w:pPr>
        <w:pStyle w:val="Beschriftung"/>
      </w:pPr>
      <w:r>
        <w:rPr>
          <w:noProof/>
          <w:lang w:eastAsia="de-AT"/>
        </w:rPr>
        <w:drawing>
          <wp:inline distT="0" distB="0" distL="0" distR="0" wp14:anchorId="0FAD2EDF" wp14:editId="01EBE487">
            <wp:extent cx="3429000" cy="3235024"/>
            <wp:effectExtent l="0" t="0" r="0" b="3810"/>
            <wp:docPr id="41" name="Grafik 41" title="Phylogenie der bakteriellen wurzelassoziierten Gemeinschaft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446218" cy="3251268"/>
                    </a:xfrm>
                    <a:prstGeom prst="rect">
                      <a:avLst/>
                    </a:prstGeom>
                    <a:noFill/>
                  </pic:spPr>
                </pic:pic>
              </a:graphicData>
            </a:graphic>
          </wp:inline>
        </w:drawing>
      </w:r>
    </w:p>
    <w:p w:rsidR="00CF0C18" w:rsidRDefault="00CF0C18" w:rsidP="00CF0C18">
      <w:pPr>
        <w:pStyle w:val="Beschriftung"/>
      </w:pPr>
      <w:bookmarkStart w:id="318" w:name="_Toc532525916"/>
      <w:bookmarkStart w:id="319" w:name="_Toc7715458"/>
      <w:r>
        <w:t xml:space="preserve">Abbildung </w:t>
      </w:r>
      <w:fldSimple w:instr=" SEQ Abbildung \* ARABIC ">
        <w:r w:rsidR="00057AF1">
          <w:rPr>
            <w:noProof/>
          </w:rPr>
          <w:t>70</w:t>
        </w:r>
      </w:fldSimple>
      <w:r>
        <w:t xml:space="preserve">: </w:t>
      </w:r>
      <w:r w:rsidRPr="00406534">
        <w:t xml:space="preserve">Distanzen der bakteriellen Gemeinschaften assoziiert mit der Rhizosphäre von Maispflanzen im Rahmen der Feldversuche </w:t>
      </w:r>
      <w:r>
        <w:t xml:space="preserve">2015 </w:t>
      </w:r>
      <w:r w:rsidRPr="00406534">
        <w:t xml:space="preserve">in Mitterdorf </w:t>
      </w:r>
      <w:r>
        <w:t>an der Raab (Steiermark)</w:t>
      </w:r>
      <w:r w:rsidRPr="00406534">
        <w:t xml:space="preserve"> und Melk </w:t>
      </w:r>
      <w:r>
        <w:t xml:space="preserve">(Niederösterreich) </w:t>
      </w:r>
      <w:r w:rsidRPr="00406534">
        <w:t>dargestellt mittels Principal component analysis (PCoA). Co = Kontrolle; STR = inokuliert mit S. rhizophila; +/- mit/ohne MAXIM-Behandlung</w:t>
      </w:r>
      <w:r>
        <w:t>.</w:t>
      </w:r>
      <w:bookmarkEnd w:id="318"/>
      <w:bookmarkEnd w:id="319"/>
    </w:p>
    <w:p w:rsidR="00546B80" w:rsidRPr="00546B80" w:rsidRDefault="00546B80" w:rsidP="00546B80">
      <w:pPr>
        <w:pStyle w:val="Flietext"/>
      </w:pPr>
    </w:p>
    <w:p w:rsidR="00CF0C18" w:rsidRPr="00406534" w:rsidRDefault="00CF0C18" w:rsidP="00CF0C18">
      <w:pPr>
        <w:pStyle w:val="Beschriftung"/>
      </w:pPr>
      <w:r>
        <w:rPr>
          <w:noProof/>
          <w:lang w:eastAsia="de-AT"/>
        </w:rPr>
        <w:drawing>
          <wp:inline distT="0" distB="0" distL="0" distR="0" wp14:anchorId="51AAB568" wp14:editId="1CFE30A0">
            <wp:extent cx="4222750" cy="2028847"/>
            <wp:effectExtent l="0" t="0" r="6350" b="9525"/>
            <wp:docPr id="42" name="Grafik 42" title="Taxonomische Zusammensetzung der bakteriellen Gemeinschaften assoziiert mit der Thizosphäre von Maispflanz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237786" cy="2036071"/>
                    </a:xfrm>
                    <a:prstGeom prst="rect">
                      <a:avLst/>
                    </a:prstGeom>
                    <a:noFill/>
                  </pic:spPr>
                </pic:pic>
              </a:graphicData>
            </a:graphic>
          </wp:inline>
        </w:drawing>
      </w:r>
    </w:p>
    <w:p w:rsidR="00CF0C18" w:rsidRDefault="00CF0C18" w:rsidP="00CF0C18">
      <w:pPr>
        <w:pStyle w:val="Beschriftung"/>
      </w:pPr>
      <w:bookmarkStart w:id="320" w:name="_Toc532525917"/>
      <w:bookmarkStart w:id="321" w:name="_Toc7715459"/>
      <w:r>
        <w:t xml:space="preserve">Abbildung </w:t>
      </w:r>
      <w:fldSimple w:instr=" SEQ Abbildung \* ARABIC ">
        <w:r w:rsidR="00057AF1">
          <w:rPr>
            <w:noProof/>
          </w:rPr>
          <w:t>71</w:t>
        </w:r>
      </w:fldSimple>
      <w:r>
        <w:t xml:space="preserve">: </w:t>
      </w:r>
      <w:r w:rsidRPr="00406534">
        <w:t>Taxonomische Zusammensetzung der bakteriellen Gemeinschaften assoziiert mit der Rhizosphäre von Maispflanzen im Rahmen der Feldversuche in Mitterdorf (Weiz) und Melk auf Phylum-Level. Co = Kontrolle; STR = inokuliert mit S. rhizophila; +/- mit/ohne MAXIM-Behandlung</w:t>
      </w:r>
      <w:r>
        <w:t>.</w:t>
      </w:r>
      <w:bookmarkEnd w:id="320"/>
      <w:bookmarkEnd w:id="321"/>
    </w:p>
    <w:p w:rsidR="00546B80" w:rsidRPr="00546B80" w:rsidRDefault="00546B80" w:rsidP="00546B80">
      <w:pPr>
        <w:pStyle w:val="Flietext"/>
      </w:pPr>
    </w:p>
    <w:p w:rsidR="00CF0C18" w:rsidRPr="000E3737" w:rsidRDefault="00CF0C18" w:rsidP="00CF0C18">
      <w:pPr>
        <w:pStyle w:val="Flietext"/>
      </w:pPr>
    </w:p>
    <w:p w:rsidR="00CF0C18" w:rsidRPr="000E3737" w:rsidRDefault="00CF0C18" w:rsidP="00CF0C18">
      <w:pPr>
        <w:pStyle w:val="Beschriftung"/>
      </w:pPr>
      <w:r w:rsidRPr="000E3737">
        <w:rPr>
          <w:noProof/>
          <w:lang w:eastAsia="de-AT"/>
        </w:rPr>
        <w:drawing>
          <wp:inline distT="0" distB="0" distL="0" distR="0" wp14:anchorId="5E9C2C6F" wp14:editId="28619503">
            <wp:extent cx="3733800" cy="2421198"/>
            <wp:effectExtent l="0" t="0" r="0" b="0"/>
            <wp:docPr id="43" name="Grafik 43" title="Distanzen der Pilzgemeinschaften assoziiert mit der Rhizosphäre von Maispflanz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749359" cy="2431287"/>
                    </a:xfrm>
                    <a:prstGeom prst="rect">
                      <a:avLst/>
                    </a:prstGeom>
                    <a:noFill/>
                    <a:ln>
                      <a:noFill/>
                    </a:ln>
                  </pic:spPr>
                </pic:pic>
              </a:graphicData>
            </a:graphic>
          </wp:inline>
        </w:drawing>
      </w:r>
    </w:p>
    <w:p w:rsidR="00CF0C18" w:rsidRDefault="00CF0C18" w:rsidP="00057AF1">
      <w:pPr>
        <w:pStyle w:val="Beschriftung"/>
        <w:jc w:val="both"/>
      </w:pPr>
      <w:bookmarkStart w:id="322" w:name="_Toc532525918"/>
      <w:bookmarkStart w:id="323" w:name="_Toc7715460"/>
      <w:r>
        <w:t xml:space="preserve">Abbildung </w:t>
      </w:r>
      <w:fldSimple w:instr=" SEQ Abbildung \* ARABIC ">
        <w:r w:rsidR="00057AF1">
          <w:rPr>
            <w:noProof/>
          </w:rPr>
          <w:t>72</w:t>
        </w:r>
      </w:fldSimple>
      <w:r>
        <w:t xml:space="preserve">: </w:t>
      </w:r>
      <w:r w:rsidRPr="00406534">
        <w:t xml:space="preserve">Distanzen der </w:t>
      </w:r>
      <w:r>
        <w:t>Pilzg</w:t>
      </w:r>
      <w:r w:rsidRPr="00406534">
        <w:t xml:space="preserve">emeinschaften assoziiert mit der Rhizosphäre von Maispflanzen im Rahmen der Feldversuche </w:t>
      </w:r>
      <w:r>
        <w:t xml:space="preserve">2015 </w:t>
      </w:r>
      <w:r w:rsidRPr="00406534">
        <w:t xml:space="preserve">in Mitterdorf </w:t>
      </w:r>
      <w:r>
        <w:t xml:space="preserve"> an der Raab (Steiermark)</w:t>
      </w:r>
      <w:r w:rsidRPr="00406534">
        <w:t xml:space="preserve"> und Melk </w:t>
      </w:r>
      <w:r>
        <w:t xml:space="preserve">(Niederösterreich) </w:t>
      </w:r>
      <w:r w:rsidRPr="00406534">
        <w:t>dargestellt mittels Principal component analysis (PCoA). Co = Kontrolle; STR = inokuliert mit S. rhizophila; +/- mit/ohne MAXIM-Behandlung</w:t>
      </w:r>
      <w:r>
        <w:t>.</w:t>
      </w:r>
      <w:bookmarkEnd w:id="322"/>
      <w:bookmarkEnd w:id="323"/>
    </w:p>
    <w:p w:rsidR="00CF0C18" w:rsidRDefault="00CF0C18" w:rsidP="00CF0C18">
      <w:pPr>
        <w:pStyle w:val="Flietext"/>
      </w:pPr>
    </w:p>
    <w:p w:rsidR="00CF0C18" w:rsidRDefault="00CF0C18" w:rsidP="00CF0C18">
      <w:pPr>
        <w:pStyle w:val="Beschriftung"/>
      </w:pPr>
      <w:r w:rsidRPr="000E3737">
        <w:rPr>
          <w:noProof/>
          <w:lang w:eastAsia="de-AT"/>
        </w:rPr>
        <w:drawing>
          <wp:inline distT="0" distB="0" distL="0" distR="0" wp14:anchorId="429E6324" wp14:editId="514E27C1">
            <wp:extent cx="3975100" cy="1894792"/>
            <wp:effectExtent l="0" t="0" r="6350" b="0"/>
            <wp:docPr id="44" name="Grafik 44" title="Taxonomische Zusammensetzung der Pilzgemeinschaf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89614" cy="1901710"/>
                    </a:xfrm>
                    <a:prstGeom prst="rect">
                      <a:avLst/>
                    </a:prstGeom>
                    <a:noFill/>
                    <a:ln>
                      <a:noFill/>
                    </a:ln>
                  </pic:spPr>
                </pic:pic>
              </a:graphicData>
            </a:graphic>
          </wp:inline>
        </w:drawing>
      </w:r>
    </w:p>
    <w:p w:rsidR="00CF0C18" w:rsidRDefault="00CF0C18" w:rsidP="00057AF1">
      <w:pPr>
        <w:pStyle w:val="Beschriftung"/>
        <w:jc w:val="both"/>
      </w:pPr>
      <w:bookmarkStart w:id="324" w:name="_Toc532525919"/>
      <w:bookmarkStart w:id="325" w:name="_Toc7715461"/>
      <w:r>
        <w:t xml:space="preserve">Abbildung </w:t>
      </w:r>
      <w:fldSimple w:instr=" SEQ Abbildung \* ARABIC ">
        <w:r w:rsidR="00057AF1">
          <w:rPr>
            <w:noProof/>
          </w:rPr>
          <w:t>73</w:t>
        </w:r>
      </w:fldSimple>
      <w:r>
        <w:t xml:space="preserve">: </w:t>
      </w:r>
      <w:r w:rsidRPr="00406534">
        <w:t xml:space="preserve">Taxonomische Zusammensetzung der </w:t>
      </w:r>
      <w:r>
        <w:t>Pilzg</w:t>
      </w:r>
      <w:r w:rsidRPr="00406534">
        <w:t>emeinschaften assoziiert mit der Rhizosphäre von Maispflanzen im Rahmen der Feldversuche in Mitterdorf (Weiz) und Melk auf Phylum-Level. Co = Kontrolle; STR = inokuliert mit S. rhizophila; +/- mit/ohne MAXIM-Behandlung</w:t>
      </w:r>
      <w:r>
        <w:t>.</w:t>
      </w:r>
      <w:bookmarkEnd w:id="324"/>
      <w:bookmarkEnd w:id="325"/>
    </w:p>
    <w:p w:rsidR="00CF0C18" w:rsidRDefault="00CF0C18" w:rsidP="008611B3">
      <w:pPr>
        <w:pStyle w:val="Flietext"/>
      </w:pPr>
    </w:p>
    <w:p w:rsidR="008611B3" w:rsidRDefault="008611B3" w:rsidP="008611B3">
      <w:pPr>
        <w:pStyle w:val="1Unterkapitel"/>
      </w:pPr>
      <w:bookmarkStart w:id="326" w:name="_Toc532526335"/>
      <w:bookmarkStart w:id="327" w:name="_Toc7715626"/>
      <w:r w:rsidRPr="00760838">
        <w:t>Untersuchungen zur Rhizosphärenkompetenz</w:t>
      </w:r>
      <w:bookmarkEnd w:id="326"/>
      <w:bookmarkEnd w:id="327"/>
    </w:p>
    <w:p w:rsidR="008611B3" w:rsidRDefault="008611B3" w:rsidP="008611B3">
      <w:pPr>
        <w:pStyle w:val="Flietext"/>
      </w:pPr>
      <w:r w:rsidRPr="00F54398">
        <w:t xml:space="preserve">Die Fähigkeit, die Wurzeln der Wirtspflanze zu besiedeln, ist eine entscheidende Voraussetzung für eine positive Pflanzen-Bakterien-Interaktion und kann stammspezifisch sein. Um die Rhizosphärenkompetenz von </w:t>
      </w:r>
      <w:r w:rsidRPr="00F54398">
        <w:rPr>
          <w:i/>
        </w:rPr>
        <w:t>S. rhizophila</w:t>
      </w:r>
      <w:r w:rsidRPr="00F54398">
        <w:t xml:space="preserve"> visuell darzustellen, wurde der in den Feldversuchen verwendete Stamm mit einem Plasmid ausgestattet, welches die Expression einer Antibiotikaresistenz sowie des fluoreszierenden Proteins DsRed2 vermittelt. </w:t>
      </w:r>
      <w:r>
        <w:t xml:space="preserve">Das Maissaatgut wurde mit dem markierten Stamm mittels Infiltration inokuliert und die Pflanzen für zwei Wochen unter Gewächshausbedingungen kultiviert. </w:t>
      </w:r>
      <w:r w:rsidRPr="00F54398">
        <w:t xml:space="preserve">Die Kolonisierungsmuster unter Gewächshausbedingungen wurden </w:t>
      </w:r>
      <w:r>
        <w:t xml:space="preserve">mit Hilfe der </w:t>
      </w:r>
      <w:r w:rsidRPr="00F54398">
        <w:t>konfokale</w:t>
      </w:r>
      <w:r>
        <w:t>n</w:t>
      </w:r>
      <w:r w:rsidRPr="00F54398">
        <w:t xml:space="preserve"> Laser-Scanning Mikroskopie erfasst und es konnte gezeigt werden, dass </w:t>
      </w:r>
      <w:r w:rsidRPr="00F54398">
        <w:rPr>
          <w:i/>
        </w:rPr>
        <w:t>S. rhizophila</w:t>
      </w:r>
      <w:r w:rsidRPr="00F54398">
        <w:t xml:space="preserve"> in der Lage war, die Wurzeln von Mais großflächig zu bes</w:t>
      </w:r>
      <w:r w:rsidR="000E7FDF">
        <w:t>iedeln</w:t>
      </w:r>
      <w:r>
        <w:t>. Diese Beobachtung wurde durch die Ergebnisse der Reisolierungsexperimente unterstützt. Aufgrund der Antibiotikaresistenzen konnte der applizierte Stamm selektiv angereichert und somit die Zelldichte ermittelt werden.</w:t>
      </w:r>
    </w:p>
    <w:p w:rsidR="00CF0C18" w:rsidRPr="00CF0C18" w:rsidRDefault="008611B3" w:rsidP="00CF0C18">
      <w:pPr>
        <w:pStyle w:val="Flietext"/>
      </w:pPr>
      <w:r>
        <w:br/>
      </w:r>
    </w:p>
    <w:p w:rsidR="00CF0C18" w:rsidRDefault="00CF0C18" w:rsidP="00CF0C18">
      <w:pPr>
        <w:pStyle w:val="Beschriftung"/>
      </w:pPr>
      <w:r>
        <w:rPr>
          <w:noProof/>
          <w:lang w:eastAsia="de-AT"/>
        </w:rPr>
        <w:drawing>
          <wp:inline distT="0" distB="0" distL="0" distR="0" wp14:anchorId="3E58027C" wp14:editId="5164340D">
            <wp:extent cx="2475230" cy="2176145"/>
            <wp:effectExtent l="0" t="0" r="1270" b="0"/>
            <wp:docPr id="45" name="Grafik 45" title="Kolonisierungsmuster von DsRed2- markiertem S. rhizophila an Maiswurze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75230" cy="2176145"/>
                    </a:xfrm>
                    <a:prstGeom prst="rect">
                      <a:avLst/>
                    </a:prstGeom>
                    <a:noFill/>
                  </pic:spPr>
                </pic:pic>
              </a:graphicData>
            </a:graphic>
          </wp:inline>
        </w:drawing>
      </w:r>
    </w:p>
    <w:p w:rsidR="00CF0C18" w:rsidRDefault="00CF0C18" w:rsidP="00CF0C18">
      <w:pPr>
        <w:pStyle w:val="Beschriftung"/>
      </w:pPr>
      <w:bookmarkStart w:id="328" w:name="_Toc532525920"/>
      <w:bookmarkStart w:id="329" w:name="_Toc7715462"/>
      <w:r>
        <w:t xml:space="preserve">Abbildung </w:t>
      </w:r>
      <w:fldSimple w:instr=" SEQ Abbildung \* ARABIC ">
        <w:r w:rsidR="00057AF1">
          <w:rPr>
            <w:noProof/>
          </w:rPr>
          <w:t>74</w:t>
        </w:r>
      </w:fldSimple>
      <w:r>
        <w:t xml:space="preserve">: </w:t>
      </w:r>
      <w:r w:rsidRPr="00901E00">
        <w:t>Kolonisieru</w:t>
      </w:r>
      <w:r>
        <w:t xml:space="preserve">ngsmuster von DsRed2-markiertem S. rhizophila </w:t>
      </w:r>
      <w:r w:rsidRPr="00901E00">
        <w:t>an Maiswurzeln unter Gewächshausbedingungen aufgenommen mittel</w:t>
      </w:r>
      <w:r>
        <w:t>s</w:t>
      </w:r>
      <w:r w:rsidRPr="00901E00">
        <w:t xml:space="preserve"> konfokaler Laser-Scanning Mikroskopie</w:t>
      </w:r>
      <w:r>
        <w:t>.</w:t>
      </w:r>
      <w:bookmarkEnd w:id="328"/>
      <w:bookmarkEnd w:id="329"/>
    </w:p>
    <w:p w:rsidR="0089049E" w:rsidRPr="0089049E" w:rsidRDefault="0089049E" w:rsidP="0089049E">
      <w:pPr>
        <w:pStyle w:val="Flietext"/>
      </w:pPr>
    </w:p>
    <w:p w:rsidR="00B75D21" w:rsidRPr="0099786D" w:rsidRDefault="00B75D21" w:rsidP="0089049E">
      <w:pPr>
        <w:pStyle w:val="1Unterkapitel"/>
      </w:pPr>
      <w:bookmarkStart w:id="330" w:name="_Toc532311622"/>
      <w:bookmarkStart w:id="331" w:name="_Toc7715627"/>
      <w:r w:rsidRPr="0099786D">
        <w:t>Käferfangzahlen Am Versuchsstandort Dedenitz und Umgebung</w:t>
      </w:r>
      <w:bookmarkEnd w:id="330"/>
      <w:bookmarkEnd w:id="331"/>
    </w:p>
    <w:p w:rsidR="00B75D21" w:rsidRPr="0099786D" w:rsidRDefault="00B75D21" w:rsidP="00057AF1">
      <w:pPr>
        <w:pStyle w:val="Flietext"/>
        <w:jc w:val="both"/>
      </w:pPr>
      <w:r w:rsidRPr="0099786D">
        <w:t xml:space="preserve">Die Käferfangzahlen von </w:t>
      </w:r>
      <w:r w:rsidRPr="0099786D">
        <w:rPr>
          <w:i/>
        </w:rPr>
        <w:t>Diabrotica v. virgifera</w:t>
      </w:r>
      <w:r w:rsidRPr="0099786D">
        <w:t xml:space="preserve"> sind weiterhin in der Region Bad Radkersburg Umgebung (d.h. Dedenitz, Alt Neudörfl) zunehmend. So konnte </w:t>
      </w:r>
      <w:r w:rsidRPr="0099786D">
        <w:rPr>
          <w:b/>
        </w:rPr>
        <w:t>keine Abnahme</w:t>
      </w:r>
      <w:r w:rsidRPr="0099786D">
        <w:t xml:space="preserve"> </w:t>
      </w:r>
      <w:r w:rsidRPr="0099786D">
        <w:rPr>
          <w:b/>
        </w:rPr>
        <w:t xml:space="preserve">der </w:t>
      </w:r>
      <w:r w:rsidRPr="0099786D">
        <w:rPr>
          <w:b/>
          <w:i/>
        </w:rPr>
        <w:t xml:space="preserve">Diabrotica </w:t>
      </w:r>
      <w:r w:rsidRPr="0099786D">
        <w:rPr>
          <w:b/>
        </w:rPr>
        <w:t>Population</w:t>
      </w:r>
      <w:r w:rsidRPr="0099786D">
        <w:t xml:space="preserve">, </w:t>
      </w:r>
      <w:r w:rsidRPr="0099786D">
        <w:rPr>
          <w:b/>
        </w:rPr>
        <w:t>trotz der zahlreichen Maßnahmen</w:t>
      </w:r>
      <w:r w:rsidRPr="0099786D">
        <w:t>, welche in der Region getroffen wurden (z.B. siehe Maiswurzelbohrer-Verordnung LGBl.Nr. 22/2015, welche den Anbau von Mais in der Steiermark strikt regelt), festgestellt werden.</w:t>
      </w:r>
    </w:p>
    <w:p w:rsidR="00B75D21" w:rsidRPr="0099786D" w:rsidRDefault="00B75D21" w:rsidP="00490DAE">
      <w:pPr>
        <w:spacing w:before="270" w:line="276" w:lineRule="auto"/>
        <w:jc w:val="both"/>
        <w:rPr>
          <w:rFonts w:eastAsia="Times New Roman"/>
          <w:color w:val="000000"/>
        </w:rPr>
      </w:pPr>
      <w:r w:rsidRPr="0099786D">
        <w:rPr>
          <w:rFonts w:eastAsia="Times New Roman"/>
          <w:color w:val="000000"/>
        </w:rPr>
        <w:t>Gemäß Diabrotica-Warndienst Österreich (</w:t>
      </w:r>
      <w:r w:rsidRPr="0052253B">
        <w:rPr>
          <w:rFonts w:eastAsia="Times New Roman"/>
        </w:rPr>
        <w:t>https://warndienst.lko.at/diabrotica+2500++1073825+6631</w:t>
      </w:r>
      <w:r w:rsidRPr="0099786D">
        <w:rPr>
          <w:rFonts w:eastAsia="Times New Roman"/>
          <w:color w:val="000000"/>
        </w:rPr>
        <w:t>) wurden bis 21. September 2018, 7075 Maiswurzelbohrer-Käfer mittels Pheromonfallen vom Typ Csalamon PAL mit einem Sexuallockstoff gefangen. 2017 wurden an diesem Standort 4987 Käfer gezählt (</w:t>
      </w:r>
      <w:r w:rsidRPr="002D57B4">
        <w:rPr>
          <w:rFonts w:eastAsia="Times New Roman"/>
        </w:rPr>
        <w:t>https://www.ages.at/themen/schaderreger/maiswurzelbohrer/tab/4/</w:t>
      </w:r>
      <w:r w:rsidRPr="0099786D">
        <w:rPr>
          <w:rFonts w:eastAsia="Times New Roman"/>
          <w:color w:val="000000"/>
        </w:rPr>
        <w:t>). Das entspricht einer Steigerung von 142 Prozent. Mit dem etablierten Schlupfkäfigsystem (Rauch et al. 2016) wurden in der Pflanzsaison 2018 bis zu 130 Käfer pro Quadratmeter auf den unbehandelten Maisackerflächen gefangen. Diese Fangquote entspricht einer Verdreifachung der Anzahl von Adulten, verglichen mit dem Jahr 2017 bzw. einer Steigerung von knapp 500 Prozent gegenüber dem Jahr 2016.</w:t>
      </w:r>
    </w:p>
    <w:p w:rsidR="00B75D21" w:rsidRPr="0099786D" w:rsidRDefault="00B75D21" w:rsidP="00490DAE">
      <w:pPr>
        <w:spacing w:before="270" w:line="276" w:lineRule="auto"/>
        <w:jc w:val="both"/>
        <w:rPr>
          <w:rFonts w:eastAsia="Times New Roman"/>
          <w:color w:val="000000"/>
        </w:rPr>
      </w:pPr>
      <w:r w:rsidRPr="0099786D">
        <w:rPr>
          <w:rFonts w:eastAsia="Times New Roman"/>
          <w:color w:val="000000"/>
        </w:rPr>
        <w:t>Die Schadschwelle der Larven bzw. der Käfer können wie schon mehrfach hingewiesen</w:t>
      </w:r>
      <w:r>
        <w:rPr>
          <w:rFonts w:eastAsia="Times New Roman"/>
          <w:color w:val="000000"/>
        </w:rPr>
        <w:t>,</w:t>
      </w:r>
      <w:r w:rsidRPr="0099786D">
        <w:rPr>
          <w:rFonts w:eastAsia="Times New Roman"/>
          <w:color w:val="000000"/>
        </w:rPr>
        <w:t xml:space="preserve"> um einiges höher als aus Literaturdaten bisher abgeleitet wurde, angesetzt werden. </w:t>
      </w:r>
      <w:r>
        <w:t xml:space="preserve">Eine </w:t>
      </w:r>
      <w:r w:rsidRPr="00FD44EE">
        <w:rPr>
          <w:i/>
        </w:rPr>
        <w:t>Diabrotica</w:t>
      </w:r>
      <w:r>
        <w:t>-Alarmzahl zur Verhinderung von Ernteverlusten in der Maisproduktion für Österreich und Europa kann jedoch nicht angeboten werden, da zu viele Umweltfaktoren die tatsächlichen Erträge im Maisanbau beeinflussen und bestimmen.</w:t>
      </w:r>
      <w:r>
        <w:rPr>
          <w:rFonts w:eastAsia="Times New Roman"/>
          <w:color w:val="000000"/>
        </w:rPr>
        <w:t xml:space="preserve"> </w:t>
      </w:r>
    </w:p>
    <w:p w:rsidR="00B75D21" w:rsidRPr="0099786D" w:rsidRDefault="00B75D21" w:rsidP="00490DAE">
      <w:pPr>
        <w:spacing w:before="270" w:line="276" w:lineRule="auto"/>
        <w:jc w:val="both"/>
      </w:pPr>
      <w:r w:rsidRPr="0099786D">
        <w:rPr>
          <w:rFonts w:eastAsia="Times New Roman"/>
          <w:color w:val="000000"/>
        </w:rPr>
        <w:t xml:space="preserve">Ein Schwellenwert in der Höhe von 50-70 Käfer </w:t>
      </w:r>
      <w:r>
        <w:rPr>
          <w:rFonts w:eastAsia="Times New Roman"/>
          <w:color w:val="000000"/>
        </w:rPr>
        <w:t xml:space="preserve">pro </w:t>
      </w:r>
      <w:r w:rsidRPr="0099786D">
        <w:rPr>
          <w:rFonts w:eastAsia="Times New Roman"/>
          <w:color w:val="000000"/>
        </w:rPr>
        <w:t>m</w:t>
      </w:r>
      <w:r>
        <w:rPr>
          <w:rFonts w:eastAsia="Times New Roman"/>
          <w:color w:val="000000"/>
          <w:vertAlign w:val="superscript"/>
        </w:rPr>
        <w:t>2</w:t>
      </w:r>
      <w:r w:rsidRPr="0099786D">
        <w:rPr>
          <w:rFonts w:eastAsia="Times New Roman"/>
          <w:color w:val="000000"/>
        </w:rPr>
        <w:t xml:space="preserve"> (d.h. ca. 10 Käfer pro Pflanze) wurde schon von Foltin (2014) diskutiert (abhängig von der Aussaatstärke pro Hektar), und kann als realistischer Näherungswert bestätigt werden. Vergleicht man die ermittelten Schlupfkäfigfangzahlen von Dedenitz, bewertet für das Kalendermonat Juli (KW 27 bis KW 30), mit jenen Beobachtungen von Stamm (1985), dann wäre der Schwellenwert am Standort Dedenitz um das 2 bis 6-fache überschritten worden (Tabelle 3). Stamm (1985) publizierte einen Schwellenwert von &lt; 1 Käfer pro Pflanze, bei einer wöchentlichen Zählung aller Käfer pro Maispflanze im Kalendermonat August. Die Käferfangzahlen, welche mit der Csalamon PAL Pheromon-Falle ermittelt wurden, können nicht direkt zur Berechnung der Käferzahl pro Pflanze </w:t>
      </w:r>
      <w:r>
        <w:rPr>
          <w:rFonts w:eastAsia="Times New Roman"/>
          <w:color w:val="000000"/>
        </w:rPr>
        <w:t xml:space="preserve">bzw. pro Fläche </w:t>
      </w:r>
      <w:r w:rsidRPr="0099786D">
        <w:rPr>
          <w:rFonts w:eastAsia="Times New Roman"/>
          <w:color w:val="000000"/>
        </w:rPr>
        <w:t>herangezogen werden.</w:t>
      </w:r>
      <w:r>
        <w:rPr>
          <w:rFonts w:eastAsia="Times New Roman"/>
          <w:color w:val="000000"/>
        </w:rPr>
        <w:t xml:space="preserve"> Als Hauptursache muss die viel zu gering gewählte Fallen-Stichprobenzahl in den Käfer-Monitorings angeführt werden. Auch ist e</w:t>
      </w:r>
      <w:r w:rsidRPr="0099786D">
        <w:rPr>
          <w:rFonts w:eastAsia="Times New Roman"/>
          <w:color w:val="000000"/>
        </w:rPr>
        <w:t xml:space="preserve">ine </w:t>
      </w:r>
      <w:r>
        <w:rPr>
          <w:rFonts w:eastAsia="Times New Roman"/>
          <w:color w:val="000000"/>
        </w:rPr>
        <w:t xml:space="preserve">standardisierte Untersuchung zur Feststellung der </w:t>
      </w:r>
      <w:r w:rsidRPr="0099786D">
        <w:rPr>
          <w:rFonts w:eastAsia="Times New Roman"/>
          <w:color w:val="000000"/>
        </w:rPr>
        <w:t xml:space="preserve">Fängigkeit des Fallensystems </w:t>
      </w:r>
      <w:r>
        <w:rPr>
          <w:rFonts w:eastAsia="Times New Roman"/>
          <w:color w:val="000000"/>
        </w:rPr>
        <w:t xml:space="preserve">bisher nie durchgeführt bzw. publiziert worden. </w:t>
      </w:r>
      <w:r w:rsidRPr="0099786D">
        <w:rPr>
          <w:rFonts w:eastAsia="Times New Roman"/>
          <w:color w:val="000000"/>
        </w:rPr>
        <w:t xml:space="preserve">Erfahrungswerte </w:t>
      </w:r>
      <w:r>
        <w:rPr>
          <w:rFonts w:eastAsia="Times New Roman"/>
          <w:color w:val="000000"/>
        </w:rPr>
        <w:t xml:space="preserve">dazu fehlen somit </w:t>
      </w:r>
      <w:r w:rsidRPr="0099786D">
        <w:rPr>
          <w:rFonts w:eastAsia="Times New Roman"/>
          <w:color w:val="000000"/>
        </w:rPr>
        <w:t>besonders für europäische Verhältnisse</w:t>
      </w:r>
      <w:r w:rsidR="00490DAE">
        <w:rPr>
          <w:rFonts w:eastAsia="Times New Roman"/>
          <w:color w:val="000000"/>
        </w:rPr>
        <w:t>.</w:t>
      </w:r>
    </w:p>
    <w:p w:rsidR="00B75D21" w:rsidRDefault="00B75D21" w:rsidP="00B75D21">
      <w:pPr>
        <w:pStyle w:val="Tabellentitel"/>
      </w:pPr>
      <w:bookmarkStart w:id="332" w:name="_Toc532311568"/>
      <w:bookmarkStart w:id="333" w:name="_Toc7715389"/>
      <w:r>
        <w:t xml:space="preserve">Tabelle </w:t>
      </w:r>
      <w:fldSimple w:instr=" SEQ Tabelle \* ARABIC ">
        <w:r w:rsidR="00490DAE">
          <w:rPr>
            <w:noProof/>
          </w:rPr>
          <w:t>8</w:t>
        </w:r>
      </w:fldSimple>
      <w:r>
        <w:t>:</w:t>
      </w:r>
      <w:r w:rsidRPr="00E366F0">
        <w:t xml:space="preserve"> </w:t>
      </w:r>
      <w:r w:rsidRPr="0099786D">
        <w:t>Diabrotica virgifera Schlupfkäfigfangzahlen (Käfer) am Standort Dedenitz im Juli 2018 (Kalenderwoche 27 bis 30; Mittelwert mit STABW; N=6).</w:t>
      </w:r>
      <w:bookmarkEnd w:id="332"/>
      <w:bookmarkEnd w:id="333"/>
    </w:p>
    <w:tbl>
      <w:tblPr>
        <w:tblW w:w="0" w:type="auto"/>
        <w:jc w:val="right"/>
        <w:tblBorders>
          <w:insideH w:val="single" w:sz="2" w:space="0" w:color="auto"/>
          <w:insideV w:val="single" w:sz="2" w:space="0" w:color="auto"/>
        </w:tblBorders>
        <w:tblLook w:val="04A0" w:firstRow="1" w:lastRow="0" w:firstColumn="1" w:lastColumn="0" w:noHBand="0" w:noVBand="1"/>
      </w:tblPr>
      <w:tblGrid>
        <w:gridCol w:w="2056"/>
        <w:gridCol w:w="1813"/>
        <w:gridCol w:w="1800"/>
        <w:gridCol w:w="1800"/>
        <w:gridCol w:w="1709"/>
      </w:tblGrid>
      <w:tr w:rsidR="00B75D21" w:rsidRPr="0099786D" w:rsidTr="00B75D21">
        <w:trPr>
          <w:jc w:val="right"/>
        </w:trPr>
        <w:tc>
          <w:tcPr>
            <w:tcW w:w="2056" w:type="dxa"/>
            <w:tcBorders>
              <w:top w:val="nil"/>
              <w:bottom w:val="nil"/>
              <w:right w:val="nil"/>
            </w:tcBorders>
            <w:shd w:val="clear" w:color="auto" w:fill="auto"/>
            <w:vAlign w:val="center"/>
          </w:tcPr>
          <w:p w:rsidR="00B75D21" w:rsidRPr="0099786D" w:rsidRDefault="00B75D21" w:rsidP="00B75D21">
            <w:pPr>
              <w:spacing w:before="270" w:line="276" w:lineRule="auto"/>
              <w:rPr>
                <w:rFonts w:eastAsia="Times New Roman"/>
                <w:b/>
                <w:color w:val="0070C0"/>
              </w:rPr>
            </w:pPr>
            <w:r w:rsidRPr="0099786D">
              <w:rPr>
                <w:rFonts w:eastAsia="Times New Roman"/>
                <w:b/>
                <w:color w:val="0070C0"/>
              </w:rPr>
              <w:t>Versuchsfeld</w:t>
            </w:r>
          </w:p>
        </w:tc>
        <w:tc>
          <w:tcPr>
            <w:tcW w:w="7122" w:type="dxa"/>
            <w:gridSpan w:val="4"/>
            <w:tcBorders>
              <w:top w:val="nil"/>
              <w:left w:val="nil"/>
              <w:bottom w:val="nil"/>
            </w:tcBorders>
            <w:shd w:val="clear" w:color="auto" w:fill="auto"/>
            <w:vAlign w:val="center"/>
          </w:tcPr>
          <w:p w:rsidR="00B75D21" w:rsidRPr="0099786D" w:rsidRDefault="00B75D21" w:rsidP="00B75D21">
            <w:pPr>
              <w:spacing w:before="270" w:line="276" w:lineRule="auto"/>
              <w:jc w:val="right"/>
              <w:rPr>
                <w:rFonts w:eastAsia="Times New Roman"/>
                <w:b/>
                <w:color w:val="0070C0"/>
              </w:rPr>
            </w:pPr>
            <w:r w:rsidRPr="0099786D">
              <w:rPr>
                <w:rFonts w:eastAsia="Times New Roman"/>
                <w:b/>
                <w:color w:val="0070C0"/>
              </w:rPr>
              <w:t xml:space="preserve">Käfer pro Pflanze pro Kalenderwoche </w:t>
            </w:r>
          </w:p>
        </w:tc>
      </w:tr>
      <w:tr w:rsidR="00B75D21" w:rsidRPr="0099786D" w:rsidTr="00B75D21">
        <w:trPr>
          <w:jc w:val="right"/>
        </w:trPr>
        <w:tc>
          <w:tcPr>
            <w:tcW w:w="2056" w:type="dxa"/>
            <w:tcBorders>
              <w:top w:val="nil"/>
            </w:tcBorders>
            <w:shd w:val="clear" w:color="auto" w:fill="auto"/>
            <w:vAlign w:val="center"/>
          </w:tcPr>
          <w:p w:rsidR="00B75D21" w:rsidRPr="0099786D" w:rsidRDefault="00B75D21" w:rsidP="00B75D21">
            <w:pPr>
              <w:spacing w:before="270" w:line="276" w:lineRule="auto"/>
              <w:rPr>
                <w:rFonts w:eastAsia="Times New Roman"/>
                <w:b/>
                <w:color w:val="0070C0"/>
              </w:rPr>
            </w:pPr>
          </w:p>
        </w:tc>
        <w:tc>
          <w:tcPr>
            <w:tcW w:w="1813" w:type="dxa"/>
            <w:tcBorders>
              <w:top w:val="nil"/>
            </w:tcBorders>
            <w:shd w:val="clear" w:color="auto" w:fill="auto"/>
            <w:vAlign w:val="center"/>
          </w:tcPr>
          <w:p w:rsidR="00B75D21" w:rsidRPr="0099786D" w:rsidRDefault="00B75D21" w:rsidP="00B75D21">
            <w:pPr>
              <w:spacing w:before="270" w:line="276" w:lineRule="auto"/>
              <w:jc w:val="right"/>
              <w:rPr>
                <w:rFonts w:eastAsia="Times New Roman"/>
                <w:color w:val="0070C0"/>
              </w:rPr>
            </w:pPr>
            <w:r w:rsidRPr="0099786D">
              <w:rPr>
                <w:rFonts w:eastAsia="Times New Roman"/>
                <w:color w:val="0070C0"/>
              </w:rPr>
              <w:t>KW 27</w:t>
            </w:r>
          </w:p>
        </w:tc>
        <w:tc>
          <w:tcPr>
            <w:tcW w:w="1800" w:type="dxa"/>
            <w:tcBorders>
              <w:top w:val="nil"/>
            </w:tcBorders>
            <w:shd w:val="clear" w:color="auto" w:fill="auto"/>
            <w:vAlign w:val="center"/>
          </w:tcPr>
          <w:p w:rsidR="00B75D21" w:rsidRPr="0099786D" w:rsidRDefault="00B75D21" w:rsidP="00B75D21">
            <w:pPr>
              <w:spacing w:before="270" w:line="276" w:lineRule="auto"/>
              <w:jc w:val="right"/>
              <w:rPr>
                <w:rFonts w:eastAsia="Times New Roman"/>
                <w:color w:val="0070C0"/>
              </w:rPr>
            </w:pPr>
            <w:r w:rsidRPr="0099786D">
              <w:rPr>
                <w:rFonts w:eastAsia="Times New Roman"/>
                <w:color w:val="0070C0"/>
              </w:rPr>
              <w:t>KW 28</w:t>
            </w:r>
          </w:p>
        </w:tc>
        <w:tc>
          <w:tcPr>
            <w:tcW w:w="1800" w:type="dxa"/>
            <w:tcBorders>
              <w:top w:val="nil"/>
            </w:tcBorders>
            <w:shd w:val="clear" w:color="auto" w:fill="auto"/>
            <w:vAlign w:val="center"/>
          </w:tcPr>
          <w:p w:rsidR="00B75D21" w:rsidRPr="0099786D" w:rsidRDefault="00B75D21" w:rsidP="00B75D21">
            <w:pPr>
              <w:spacing w:before="270" w:line="276" w:lineRule="auto"/>
              <w:jc w:val="right"/>
              <w:rPr>
                <w:rFonts w:eastAsia="Times New Roman"/>
                <w:color w:val="0070C0"/>
              </w:rPr>
            </w:pPr>
            <w:r w:rsidRPr="0099786D">
              <w:rPr>
                <w:rFonts w:eastAsia="Times New Roman"/>
                <w:color w:val="0070C0"/>
              </w:rPr>
              <w:t>KW 29</w:t>
            </w:r>
          </w:p>
        </w:tc>
        <w:tc>
          <w:tcPr>
            <w:tcW w:w="1709" w:type="dxa"/>
            <w:tcBorders>
              <w:top w:val="nil"/>
            </w:tcBorders>
            <w:shd w:val="clear" w:color="auto" w:fill="auto"/>
            <w:vAlign w:val="center"/>
          </w:tcPr>
          <w:p w:rsidR="00B75D21" w:rsidRPr="0099786D" w:rsidRDefault="00B75D21" w:rsidP="00B75D21">
            <w:pPr>
              <w:spacing w:before="270" w:line="276" w:lineRule="auto"/>
              <w:jc w:val="right"/>
              <w:rPr>
                <w:rFonts w:eastAsia="Times New Roman"/>
                <w:color w:val="0070C0"/>
              </w:rPr>
            </w:pPr>
            <w:r w:rsidRPr="0099786D">
              <w:rPr>
                <w:rFonts w:eastAsia="Times New Roman"/>
                <w:color w:val="0070C0"/>
              </w:rPr>
              <w:t>KW 30</w:t>
            </w:r>
          </w:p>
        </w:tc>
      </w:tr>
      <w:tr w:rsidR="00B75D21" w:rsidRPr="0099786D" w:rsidTr="00B75D21">
        <w:trPr>
          <w:jc w:val="right"/>
        </w:trPr>
        <w:tc>
          <w:tcPr>
            <w:tcW w:w="2056" w:type="dxa"/>
            <w:shd w:val="clear" w:color="auto" w:fill="auto"/>
            <w:vAlign w:val="center"/>
          </w:tcPr>
          <w:p w:rsidR="00B75D21" w:rsidRPr="0099786D" w:rsidRDefault="00B75D21" w:rsidP="00B75D21">
            <w:pPr>
              <w:spacing w:before="270" w:line="276" w:lineRule="auto"/>
              <w:rPr>
                <w:rFonts w:eastAsia="Times New Roman"/>
                <w:b/>
                <w:color w:val="0070C0"/>
              </w:rPr>
            </w:pPr>
            <w:r w:rsidRPr="0099786D">
              <w:rPr>
                <w:rFonts w:eastAsia="Times New Roman"/>
                <w:b/>
                <w:color w:val="0070C0"/>
              </w:rPr>
              <w:t>Siloacker</w:t>
            </w:r>
          </w:p>
        </w:tc>
        <w:tc>
          <w:tcPr>
            <w:tcW w:w="1813" w:type="dxa"/>
            <w:shd w:val="clear" w:color="auto" w:fill="auto"/>
            <w:vAlign w:val="center"/>
          </w:tcPr>
          <w:p w:rsidR="00B75D21" w:rsidRPr="0099786D" w:rsidRDefault="00B75D21" w:rsidP="00B75D21">
            <w:pPr>
              <w:spacing w:before="270" w:line="276" w:lineRule="auto"/>
              <w:jc w:val="right"/>
              <w:rPr>
                <w:rFonts w:eastAsia="Times New Roman"/>
              </w:rPr>
            </w:pPr>
            <w:r w:rsidRPr="0099786D">
              <w:rPr>
                <w:rFonts w:eastAsia="Times New Roman"/>
              </w:rPr>
              <w:t xml:space="preserve">1,78 ± </w:t>
            </w:r>
            <w:r w:rsidRPr="0099786D">
              <w:rPr>
                <w:rFonts w:ascii="Calibri" w:eastAsia="Times New Roman" w:hAnsi="Calibri" w:cs="Calibri"/>
                <w:color w:val="000000"/>
                <w:sz w:val="22"/>
                <w:szCs w:val="22"/>
              </w:rPr>
              <w:t>1,73</w:t>
            </w:r>
            <w:r w:rsidRPr="0099786D">
              <w:rPr>
                <w:rFonts w:eastAsia="Times New Roman"/>
              </w:rPr>
              <w:t xml:space="preserve"> </w:t>
            </w:r>
          </w:p>
        </w:tc>
        <w:tc>
          <w:tcPr>
            <w:tcW w:w="1800" w:type="dxa"/>
            <w:shd w:val="clear" w:color="auto" w:fill="auto"/>
            <w:vAlign w:val="center"/>
          </w:tcPr>
          <w:p w:rsidR="00B75D21" w:rsidRPr="0099786D" w:rsidRDefault="00B75D21" w:rsidP="00B75D21">
            <w:pPr>
              <w:spacing w:before="270" w:line="276" w:lineRule="auto"/>
              <w:jc w:val="right"/>
              <w:rPr>
                <w:rFonts w:eastAsia="Times New Roman"/>
              </w:rPr>
            </w:pPr>
            <w:r w:rsidRPr="0099786D">
              <w:rPr>
                <w:rFonts w:eastAsia="Times New Roman"/>
              </w:rPr>
              <w:t xml:space="preserve">1,56 ± </w:t>
            </w:r>
            <w:r w:rsidRPr="0099786D">
              <w:rPr>
                <w:rFonts w:ascii="Calibri" w:eastAsia="Times New Roman" w:hAnsi="Calibri" w:cs="Calibri"/>
                <w:color w:val="000000"/>
                <w:sz w:val="22"/>
                <w:szCs w:val="22"/>
              </w:rPr>
              <w:t>1,05</w:t>
            </w:r>
          </w:p>
        </w:tc>
        <w:tc>
          <w:tcPr>
            <w:tcW w:w="1800" w:type="dxa"/>
            <w:shd w:val="clear" w:color="auto" w:fill="auto"/>
            <w:vAlign w:val="center"/>
          </w:tcPr>
          <w:p w:rsidR="00B75D21" w:rsidRPr="0099786D" w:rsidRDefault="00B75D21" w:rsidP="00B75D21">
            <w:pPr>
              <w:spacing w:before="270" w:line="276" w:lineRule="auto"/>
              <w:jc w:val="right"/>
              <w:rPr>
                <w:rFonts w:eastAsia="Times New Roman"/>
              </w:rPr>
            </w:pPr>
            <w:r w:rsidRPr="0099786D">
              <w:rPr>
                <w:rFonts w:eastAsia="Times New Roman"/>
              </w:rPr>
              <w:t xml:space="preserve">1,72 ± </w:t>
            </w:r>
            <w:r w:rsidRPr="0099786D">
              <w:rPr>
                <w:rFonts w:ascii="Calibri" w:eastAsia="Times New Roman" w:hAnsi="Calibri" w:cs="Calibri"/>
                <w:color w:val="000000"/>
                <w:sz w:val="22"/>
                <w:szCs w:val="22"/>
              </w:rPr>
              <w:t>1,22</w:t>
            </w:r>
            <w:r w:rsidRPr="0099786D">
              <w:rPr>
                <w:rFonts w:eastAsia="Times New Roman"/>
              </w:rPr>
              <w:t xml:space="preserve"> </w:t>
            </w:r>
          </w:p>
        </w:tc>
        <w:tc>
          <w:tcPr>
            <w:tcW w:w="1709" w:type="dxa"/>
            <w:shd w:val="clear" w:color="auto" w:fill="auto"/>
            <w:vAlign w:val="center"/>
          </w:tcPr>
          <w:p w:rsidR="00B75D21" w:rsidRPr="0099786D" w:rsidRDefault="00B75D21" w:rsidP="00B75D21">
            <w:pPr>
              <w:spacing w:before="270" w:line="276" w:lineRule="auto"/>
              <w:jc w:val="right"/>
              <w:rPr>
                <w:rFonts w:eastAsia="Times New Roman"/>
              </w:rPr>
            </w:pPr>
            <w:r w:rsidRPr="0099786D">
              <w:rPr>
                <w:rFonts w:eastAsia="Times New Roman"/>
              </w:rPr>
              <w:t xml:space="preserve">0,61 ± </w:t>
            </w:r>
            <w:r w:rsidRPr="0099786D">
              <w:rPr>
                <w:rFonts w:ascii="Calibri" w:eastAsia="Times New Roman" w:hAnsi="Calibri" w:cs="Calibri"/>
                <w:color w:val="000000"/>
                <w:sz w:val="22"/>
                <w:szCs w:val="22"/>
              </w:rPr>
              <w:t>1,04</w:t>
            </w:r>
          </w:p>
        </w:tc>
      </w:tr>
      <w:tr w:rsidR="00B75D21" w:rsidRPr="0099786D" w:rsidTr="00B75D21">
        <w:trPr>
          <w:jc w:val="right"/>
        </w:trPr>
        <w:tc>
          <w:tcPr>
            <w:tcW w:w="2056" w:type="dxa"/>
            <w:shd w:val="clear" w:color="auto" w:fill="auto"/>
            <w:vAlign w:val="center"/>
          </w:tcPr>
          <w:p w:rsidR="00B75D21" w:rsidRPr="0099786D" w:rsidRDefault="00B75D21" w:rsidP="00B75D21">
            <w:pPr>
              <w:spacing w:before="270" w:line="276" w:lineRule="auto"/>
              <w:rPr>
                <w:rFonts w:eastAsia="Times New Roman"/>
                <w:b/>
                <w:color w:val="0070C0"/>
              </w:rPr>
            </w:pPr>
            <w:r w:rsidRPr="0099786D">
              <w:rPr>
                <w:rFonts w:eastAsia="Times New Roman"/>
                <w:b/>
                <w:color w:val="0070C0"/>
              </w:rPr>
              <w:t>Gomoc</w:t>
            </w:r>
          </w:p>
        </w:tc>
        <w:tc>
          <w:tcPr>
            <w:tcW w:w="1813" w:type="dxa"/>
            <w:shd w:val="clear" w:color="auto" w:fill="auto"/>
            <w:vAlign w:val="center"/>
          </w:tcPr>
          <w:p w:rsidR="00B75D21" w:rsidRPr="0099786D" w:rsidRDefault="00B75D21" w:rsidP="00B75D21">
            <w:pPr>
              <w:spacing w:before="270" w:line="276" w:lineRule="auto"/>
              <w:jc w:val="right"/>
              <w:rPr>
                <w:rFonts w:eastAsia="Times New Roman"/>
              </w:rPr>
            </w:pPr>
            <w:r w:rsidRPr="0099786D">
              <w:rPr>
                <w:rFonts w:eastAsia="Times New Roman"/>
              </w:rPr>
              <w:t xml:space="preserve">6,44 ± </w:t>
            </w:r>
            <w:r w:rsidRPr="0099786D">
              <w:rPr>
                <w:rFonts w:ascii="Calibri" w:eastAsia="Times New Roman" w:hAnsi="Calibri" w:cs="Calibri"/>
                <w:color w:val="000000"/>
                <w:sz w:val="22"/>
                <w:szCs w:val="22"/>
              </w:rPr>
              <w:t>15,43</w:t>
            </w:r>
          </w:p>
        </w:tc>
        <w:tc>
          <w:tcPr>
            <w:tcW w:w="1800" w:type="dxa"/>
            <w:shd w:val="clear" w:color="auto" w:fill="auto"/>
            <w:vAlign w:val="center"/>
          </w:tcPr>
          <w:p w:rsidR="00B75D21" w:rsidRPr="0099786D" w:rsidRDefault="00B75D21" w:rsidP="00B75D21">
            <w:pPr>
              <w:spacing w:before="270" w:line="276" w:lineRule="auto"/>
              <w:jc w:val="right"/>
              <w:rPr>
                <w:rFonts w:eastAsia="Times New Roman"/>
              </w:rPr>
            </w:pPr>
            <w:r w:rsidRPr="0099786D">
              <w:rPr>
                <w:rFonts w:eastAsia="Times New Roman"/>
                <w:lang w:val="de-DE"/>
              </w:rPr>
              <w:t>4,22 ± 3,22</w:t>
            </w:r>
          </w:p>
        </w:tc>
        <w:tc>
          <w:tcPr>
            <w:tcW w:w="1800" w:type="dxa"/>
            <w:shd w:val="clear" w:color="auto" w:fill="auto"/>
            <w:vAlign w:val="center"/>
          </w:tcPr>
          <w:p w:rsidR="00B75D21" w:rsidRPr="0099786D" w:rsidRDefault="00B75D21" w:rsidP="00B75D21">
            <w:pPr>
              <w:spacing w:before="270" w:line="276" w:lineRule="auto"/>
              <w:jc w:val="right"/>
              <w:rPr>
                <w:rFonts w:eastAsia="Times New Roman"/>
              </w:rPr>
            </w:pPr>
            <w:r w:rsidRPr="0099786D">
              <w:rPr>
                <w:rFonts w:eastAsia="Times New Roman"/>
              </w:rPr>
              <w:t>1,41 ± 0</w:t>
            </w:r>
            <w:r w:rsidRPr="0099786D">
              <w:rPr>
                <w:rFonts w:ascii="Calibri" w:eastAsia="Times New Roman" w:hAnsi="Calibri" w:cs="Calibri"/>
                <w:color w:val="000000"/>
                <w:sz w:val="22"/>
                <w:szCs w:val="22"/>
              </w:rPr>
              <w:t>,44</w:t>
            </w:r>
            <w:r w:rsidRPr="0099786D">
              <w:rPr>
                <w:rFonts w:eastAsia="Times New Roman"/>
              </w:rPr>
              <w:t xml:space="preserve"> </w:t>
            </w:r>
          </w:p>
        </w:tc>
        <w:tc>
          <w:tcPr>
            <w:tcW w:w="1709" w:type="dxa"/>
            <w:shd w:val="clear" w:color="auto" w:fill="auto"/>
            <w:vAlign w:val="center"/>
          </w:tcPr>
          <w:p w:rsidR="00B75D21" w:rsidRPr="0099786D" w:rsidRDefault="00B75D21" w:rsidP="00B75D21">
            <w:pPr>
              <w:spacing w:before="270" w:line="276" w:lineRule="auto"/>
              <w:jc w:val="right"/>
              <w:rPr>
                <w:rFonts w:eastAsia="Times New Roman"/>
              </w:rPr>
            </w:pPr>
            <w:r w:rsidRPr="0099786D">
              <w:rPr>
                <w:rFonts w:eastAsia="Times New Roman"/>
              </w:rPr>
              <w:t xml:space="preserve">0,44 ± </w:t>
            </w:r>
            <w:r w:rsidRPr="0099786D">
              <w:rPr>
                <w:rFonts w:ascii="Calibri" w:eastAsia="Times New Roman" w:hAnsi="Calibri" w:cs="Calibri"/>
                <w:color w:val="000000"/>
                <w:sz w:val="22"/>
                <w:szCs w:val="22"/>
              </w:rPr>
              <w:t>0,34</w:t>
            </w:r>
          </w:p>
        </w:tc>
      </w:tr>
      <w:tr w:rsidR="00B75D21" w:rsidRPr="0099786D" w:rsidTr="00B75D21">
        <w:trPr>
          <w:jc w:val="right"/>
        </w:trPr>
        <w:tc>
          <w:tcPr>
            <w:tcW w:w="2056" w:type="dxa"/>
            <w:shd w:val="clear" w:color="auto" w:fill="auto"/>
            <w:vAlign w:val="center"/>
          </w:tcPr>
          <w:p w:rsidR="00B75D21" w:rsidRPr="0099786D" w:rsidRDefault="00B75D21" w:rsidP="00B75D21">
            <w:pPr>
              <w:spacing w:before="270" w:line="276" w:lineRule="auto"/>
              <w:rPr>
                <w:rFonts w:eastAsia="Times New Roman"/>
                <w:b/>
                <w:color w:val="0070C0"/>
              </w:rPr>
            </w:pPr>
            <w:r w:rsidRPr="0099786D">
              <w:rPr>
                <w:rFonts w:eastAsia="Times New Roman"/>
                <w:b/>
                <w:color w:val="0070C0"/>
              </w:rPr>
              <w:t>Langfeld</w:t>
            </w:r>
          </w:p>
        </w:tc>
        <w:tc>
          <w:tcPr>
            <w:tcW w:w="1813" w:type="dxa"/>
            <w:shd w:val="clear" w:color="auto" w:fill="auto"/>
            <w:vAlign w:val="center"/>
          </w:tcPr>
          <w:p w:rsidR="00B75D21" w:rsidRPr="0099786D" w:rsidRDefault="00B75D21" w:rsidP="00B75D21">
            <w:pPr>
              <w:spacing w:before="270" w:line="276" w:lineRule="auto"/>
              <w:jc w:val="right"/>
              <w:rPr>
                <w:rFonts w:eastAsia="Times New Roman"/>
              </w:rPr>
            </w:pPr>
            <w:r w:rsidRPr="0099786D">
              <w:rPr>
                <w:rFonts w:eastAsia="Times New Roman"/>
              </w:rPr>
              <w:t>5,67 ± 3,27</w:t>
            </w:r>
          </w:p>
        </w:tc>
        <w:tc>
          <w:tcPr>
            <w:tcW w:w="1800" w:type="dxa"/>
            <w:shd w:val="clear" w:color="auto" w:fill="auto"/>
            <w:vAlign w:val="center"/>
          </w:tcPr>
          <w:p w:rsidR="00B75D21" w:rsidRPr="0099786D" w:rsidRDefault="00B75D21" w:rsidP="00B75D21">
            <w:pPr>
              <w:spacing w:before="270" w:line="276" w:lineRule="auto"/>
              <w:jc w:val="right"/>
              <w:rPr>
                <w:rFonts w:eastAsia="Times New Roman"/>
              </w:rPr>
            </w:pPr>
            <w:r w:rsidRPr="0099786D">
              <w:rPr>
                <w:rFonts w:eastAsia="Times New Roman"/>
              </w:rPr>
              <w:t>2,56 ± 2,19</w:t>
            </w:r>
          </w:p>
        </w:tc>
        <w:tc>
          <w:tcPr>
            <w:tcW w:w="1800" w:type="dxa"/>
            <w:shd w:val="clear" w:color="auto" w:fill="auto"/>
            <w:vAlign w:val="center"/>
          </w:tcPr>
          <w:p w:rsidR="00B75D21" w:rsidRPr="0099786D" w:rsidRDefault="00B75D21" w:rsidP="00B75D21">
            <w:pPr>
              <w:spacing w:before="270" w:line="276" w:lineRule="auto"/>
              <w:jc w:val="right"/>
              <w:rPr>
                <w:rFonts w:eastAsia="Times New Roman"/>
              </w:rPr>
            </w:pPr>
            <w:r w:rsidRPr="0099786D">
              <w:rPr>
                <w:rFonts w:eastAsia="Times New Roman"/>
              </w:rPr>
              <w:t>2,61 ± 1</w:t>
            </w:r>
            <w:r w:rsidRPr="0099786D">
              <w:rPr>
                <w:rFonts w:ascii="Calibri" w:eastAsia="Times New Roman" w:hAnsi="Calibri" w:cs="Calibri"/>
                <w:color w:val="000000"/>
                <w:sz w:val="22"/>
                <w:szCs w:val="22"/>
              </w:rPr>
              <w:t>,76</w:t>
            </w:r>
            <w:r w:rsidRPr="0099786D">
              <w:rPr>
                <w:rFonts w:eastAsia="Times New Roman"/>
              </w:rPr>
              <w:t xml:space="preserve"> </w:t>
            </w:r>
          </w:p>
        </w:tc>
        <w:tc>
          <w:tcPr>
            <w:tcW w:w="1709" w:type="dxa"/>
            <w:shd w:val="clear" w:color="auto" w:fill="auto"/>
            <w:vAlign w:val="center"/>
          </w:tcPr>
          <w:p w:rsidR="00B75D21" w:rsidRPr="0099786D" w:rsidRDefault="00B75D21" w:rsidP="00B75D21">
            <w:pPr>
              <w:spacing w:before="270" w:line="276" w:lineRule="auto"/>
              <w:jc w:val="right"/>
              <w:rPr>
                <w:rFonts w:eastAsia="Times New Roman"/>
              </w:rPr>
            </w:pPr>
            <w:r w:rsidRPr="0099786D">
              <w:rPr>
                <w:rFonts w:eastAsia="Times New Roman"/>
              </w:rPr>
              <w:t>0,56 ± 0</w:t>
            </w:r>
            <w:r w:rsidRPr="0099786D">
              <w:rPr>
                <w:rFonts w:ascii="Calibri" w:eastAsia="Times New Roman" w:hAnsi="Calibri" w:cs="Calibri"/>
                <w:color w:val="000000"/>
                <w:sz w:val="22"/>
                <w:szCs w:val="22"/>
              </w:rPr>
              <w:t>,43</w:t>
            </w:r>
          </w:p>
        </w:tc>
      </w:tr>
      <w:tr w:rsidR="00B75D21" w:rsidRPr="0099786D" w:rsidTr="00B75D21">
        <w:trPr>
          <w:jc w:val="right"/>
        </w:trPr>
        <w:tc>
          <w:tcPr>
            <w:tcW w:w="2056" w:type="dxa"/>
            <w:shd w:val="clear" w:color="auto" w:fill="auto"/>
            <w:vAlign w:val="center"/>
          </w:tcPr>
          <w:p w:rsidR="00B75D21" w:rsidRPr="0099786D" w:rsidRDefault="00B75D21" w:rsidP="00B75D21">
            <w:pPr>
              <w:spacing w:before="270" w:line="276" w:lineRule="auto"/>
              <w:rPr>
                <w:rFonts w:eastAsia="Times New Roman"/>
                <w:b/>
                <w:color w:val="0070C0"/>
              </w:rPr>
            </w:pPr>
            <w:r w:rsidRPr="0099786D">
              <w:rPr>
                <w:rFonts w:eastAsia="Times New Roman"/>
                <w:b/>
                <w:color w:val="0070C0"/>
              </w:rPr>
              <w:t>X̅  ± STABW</w:t>
            </w:r>
          </w:p>
        </w:tc>
        <w:tc>
          <w:tcPr>
            <w:tcW w:w="1813" w:type="dxa"/>
            <w:shd w:val="clear" w:color="auto" w:fill="auto"/>
            <w:vAlign w:val="center"/>
          </w:tcPr>
          <w:p w:rsidR="00B75D21" w:rsidRPr="0099786D" w:rsidRDefault="00B75D21" w:rsidP="00B75D21">
            <w:pPr>
              <w:spacing w:before="270" w:line="276" w:lineRule="auto"/>
              <w:jc w:val="right"/>
              <w:rPr>
                <w:rFonts w:eastAsia="Times New Roman"/>
                <w:b/>
                <w:bCs/>
                <w:color w:val="000000"/>
              </w:rPr>
            </w:pPr>
            <w:r w:rsidRPr="0099786D">
              <w:rPr>
                <w:rFonts w:eastAsia="Times New Roman"/>
                <w:b/>
                <w:bCs/>
                <w:color w:val="000000"/>
              </w:rPr>
              <w:t>4,63 ± 1,86</w:t>
            </w:r>
          </w:p>
        </w:tc>
        <w:tc>
          <w:tcPr>
            <w:tcW w:w="1800" w:type="dxa"/>
            <w:shd w:val="clear" w:color="auto" w:fill="auto"/>
            <w:vAlign w:val="center"/>
          </w:tcPr>
          <w:p w:rsidR="00B75D21" w:rsidRPr="0099786D" w:rsidRDefault="00B75D21" w:rsidP="00B75D21">
            <w:pPr>
              <w:spacing w:before="270" w:line="276" w:lineRule="auto"/>
              <w:jc w:val="right"/>
              <w:rPr>
                <w:rFonts w:eastAsia="Times New Roman"/>
                <w:b/>
                <w:bCs/>
                <w:color w:val="000000"/>
              </w:rPr>
            </w:pPr>
            <w:r w:rsidRPr="0099786D">
              <w:rPr>
                <w:rFonts w:eastAsia="Times New Roman"/>
                <w:b/>
                <w:bCs/>
                <w:color w:val="000000"/>
              </w:rPr>
              <w:t>2,78 ± 1,09</w:t>
            </w:r>
          </w:p>
        </w:tc>
        <w:tc>
          <w:tcPr>
            <w:tcW w:w="1800" w:type="dxa"/>
            <w:shd w:val="clear" w:color="auto" w:fill="auto"/>
            <w:vAlign w:val="center"/>
          </w:tcPr>
          <w:p w:rsidR="00B75D21" w:rsidRPr="0099786D" w:rsidRDefault="00B75D21" w:rsidP="00B75D21">
            <w:pPr>
              <w:spacing w:before="270" w:line="276" w:lineRule="auto"/>
              <w:jc w:val="right"/>
              <w:rPr>
                <w:rFonts w:eastAsia="Times New Roman"/>
                <w:b/>
                <w:bCs/>
                <w:color w:val="000000"/>
              </w:rPr>
            </w:pPr>
            <w:r w:rsidRPr="0099786D">
              <w:rPr>
                <w:rFonts w:eastAsia="Times New Roman"/>
                <w:b/>
                <w:bCs/>
                <w:color w:val="000000"/>
              </w:rPr>
              <w:t>2,17 ± 0,27</w:t>
            </w:r>
          </w:p>
        </w:tc>
        <w:tc>
          <w:tcPr>
            <w:tcW w:w="1709" w:type="dxa"/>
            <w:shd w:val="clear" w:color="auto" w:fill="auto"/>
            <w:vAlign w:val="center"/>
          </w:tcPr>
          <w:p w:rsidR="00B75D21" w:rsidRPr="0099786D" w:rsidRDefault="00B75D21" w:rsidP="00B75D21">
            <w:pPr>
              <w:spacing w:before="270" w:line="276" w:lineRule="auto"/>
              <w:jc w:val="right"/>
              <w:rPr>
                <w:rFonts w:eastAsia="Times New Roman"/>
                <w:b/>
                <w:bCs/>
                <w:color w:val="000000"/>
              </w:rPr>
            </w:pPr>
            <w:r w:rsidRPr="0099786D">
              <w:rPr>
                <w:rFonts w:eastAsia="Times New Roman"/>
                <w:b/>
                <w:bCs/>
                <w:color w:val="000000"/>
              </w:rPr>
              <w:t>0,54 ± 0,39</w:t>
            </w:r>
          </w:p>
        </w:tc>
      </w:tr>
    </w:tbl>
    <w:p w:rsidR="00490DAE" w:rsidRDefault="00490DAE" w:rsidP="00490DAE">
      <w:pPr>
        <w:pStyle w:val="11Unterkapitel"/>
        <w:numPr>
          <w:ilvl w:val="0"/>
          <w:numId w:val="0"/>
        </w:numPr>
        <w:ind w:left="1400"/>
      </w:pPr>
      <w:bookmarkStart w:id="334" w:name="_Toc532311623"/>
    </w:p>
    <w:p w:rsidR="00B75D21" w:rsidRPr="0099786D" w:rsidRDefault="00B75D21" w:rsidP="00B75D21">
      <w:pPr>
        <w:pStyle w:val="11Unterkapitel"/>
      </w:pPr>
      <w:bookmarkStart w:id="335" w:name="_Toc7715628"/>
      <w:r w:rsidRPr="0099786D">
        <w:t>Käferverteilung in Abhängigkeit vom Versuchsstandort</w:t>
      </w:r>
      <w:bookmarkEnd w:id="334"/>
      <w:bookmarkEnd w:id="335"/>
    </w:p>
    <w:p w:rsidR="00490DAE" w:rsidRPr="00B07F56" w:rsidRDefault="00B75D21" w:rsidP="00490DAE">
      <w:pPr>
        <w:pStyle w:val="Flietext"/>
        <w:jc w:val="both"/>
      </w:pPr>
      <w:r w:rsidRPr="0099786D">
        <w:t xml:space="preserve">Die </w:t>
      </w:r>
      <w:r w:rsidRPr="0099786D">
        <w:rPr>
          <w:i/>
        </w:rPr>
        <w:t xml:space="preserve">Diabrotica </w:t>
      </w:r>
      <w:r w:rsidRPr="0099786D">
        <w:t>Abundanz war 2018 im Versuchsfeld Siloacker (Feld 1) am geringsten (X̅ = 57 Käfer m</w:t>
      </w:r>
      <w:r w:rsidRPr="0099786D">
        <w:rPr>
          <w:vertAlign w:val="superscript"/>
        </w:rPr>
        <w:t>-2</w:t>
      </w:r>
      <w:r w:rsidRPr="0099786D">
        <w:t xml:space="preserve"> ±</w:t>
      </w:r>
      <w:r w:rsidRPr="0099786D">
        <w:rPr>
          <w:vertAlign w:val="superscript"/>
        </w:rPr>
        <w:t xml:space="preserve"> </w:t>
      </w:r>
      <w:r w:rsidRPr="0099786D">
        <w:t xml:space="preserve">8,94) und im Feld Gomboc (Feld 2; X̅ </w:t>
      </w:r>
      <w:r w:rsidRPr="0099786D">
        <w:fldChar w:fldCharType="begin"/>
      </w:r>
      <w:r w:rsidRPr="0099786D">
        <w:instrText>eq\O(x;ˉ</w:instrText>
      </w:r>
      <w:r w:rsidRPr="0099786D">
        <w:fldChar w:fldCharType="end"/>
      </w:r>
      <w:r w:rsidRPr="0099786D">
        <w:t>= 1</w:t>
      </w:r>
      <w:r>
        <w:t>1</w:t>
      </w:r>
      <w:r w:rsidRPr="0099786D">
        <w:t>0 Käfer m</w:t>
      </w:r>
      <w:r w:rsidRPr="0099786D">
        <w:rPr>
          <w:vertAlign w:val="superscript"/>
        </w:rPr>
        <w:t>-2</w:t>
      </w:r>
      <w:r w:rsidRPr="0099786D">
        <w:t xml:space="preserve"> ± 25,75) </w:t>
      </w:r>
      <w:r w:rsidRPr="000E7FDF">
        <w:t xml:space="preserve">am höchsten (Abbildung </w:t>
      </w:r>
      <w:r w:rsidR="00490DAE" w:rsidRPr="000E7FDF">
        <w:t>75)</w:t>
      </w:r>
      <w:r w:rsidRPr="000E7FDF">
        <w:t xml:space="preserve">. Die </w:t>
      </w:r>
      <w:r w:rsidRPr="000E7FDF">
        <w:rPr>
          <w:i/>
        </w:rPr>
        <w:t>Diabrotica</w:t>
      </w:r>
      <w:r w:rsidRPr="000E7FDF">
        <w:t xml:space="preserve"> Käferpräsenz in den drei Versuchsflächen waren höchst signifikant unterschiedlich (Pearson</w:t>
      </w:r>
      <w:r w:rsidRPr="0099786D">
        <w:t xml:space="preserve"> r</w:t>
      </w:r>
      <w:r w:rsidRPr="0099786D">
        <w:rPr>
          <w:vertAlign w:val="superscript"/>
        </w:rPr>
        <w:t>2</w:t>
      </w:r>
      <w:r w:rsidRPr="0099786D">
        <w:t>=0,248, P&gt; 0,001)</w:t>
      </w:r>
      <w:r>
        <w:t xml:space="preserve">. Trotzdem hatten die unterschiedlich hohen Käferbefallszahlen keinen direkten </w:t>
      </w:r>
      <w:r w:rsidRPr="0099786D">
        <w:t>Einfluss auf die Aussagekraft der Wirksamkeitsstudie. Der Käferbefall konnte nämlich für alle drei Versuchsstandorte als einheitlich stark ausgewiesen werden (ø 49 Käfer m</w:t>
      </w:r>
      <w:r w:rsidRPr="0099786D">
        <w:rPr>
          <w:vertAlign w:val="superscript"/>
        </w:rPr>
        <w:t>-2</w:t>
      </w:r>
      <w:r w:rsidRPr="0099786D">
        <w:t xml:space="preserve"> = 20,54 ± </w:t>
      </w:r>
      <w:r w:rsidRPr="00B07F56">
        <w:t xml:space="preserve">1,083 Käfer pro </w:t>
      </w:r>
      <w:r w:rsidR="00490DAE">
        <w:t>Schlupfkäfig</w:t>
      </w:r>
      <w:r w:rsidR="00490DAE" w:rsidRPr="00B07F56">
        <w:t xml:space="preserve"> bzw. 7 Käfer pro Pflanze).</w:t>
      </w:r>
    </w:p>
    <w:p w:rsidR="0089049E" w:rsidRPr="00B07F56" w:rsidRDefault="0089049E" w:rsidP="00490DAE">
      <w:pPr>
        <w:pStyle w:val="Flietext"/>
        <w:jc w:val="both"/>
      </w:pPr>
      <w:r w:rsidRPr="0099786D">
        <w:rPr>
          <w:noProof/>
          <w:lang w:eastAsia="de-AT"/>
        </w:rPr>
        <w:drawing>
          <wp:anchor distT="0" distB="0" distL="114300" distR="114300" simplePos="0" relativeHeight="251564544" behindDoc="1" locked="0" layoutInCell="1" allowOverlap="1" wp14:anchorId="0C2DAADF" wp14:editId="4F00DFD0">
            <wp:simplePos x="0" y="0"/>
            <wp:positionH relativeFrom="column">
              <wp:posOffset>-26035</wp:posOffset>
            </wp:positionH>
            <wp:positionV relativeFrom="paragraph">
              <wp:posOffset>83185</wp:posOffset>
            </wp:positionV>
            <wp:extent cx="4633595" cy="3267075"/>
            <wp:effectExtent l="0" t="0" r="0" b="9525"/>
            <wp:wrapTight wrapText="bothSides">
              <wp:wrapPolygon edited="0">
                <wp:start x="0" y="0"/>
                <wp:lineTo x="0" y="21537"/>
                <wp:lineTo x="21490" y="21537"/>
                <wp:lineTo x="21490" y="0"/>
                <wp:lineTo x="0" y="0"/>
              </wp:wrapPolygon>
            </wp:wrapTight>
            <wp:docPr id="9243" name="Grafik 9243" descr="Diabrotica qm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abrotica qm 2018"/>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4633595" cy="3267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5D21" w:rsidRDefault="00B75D21" w:rsidP="00B75D21">
      <w:pPr>
        <w:pStyle w:val="Beschriftung"/>
      </w:pPr>
      <w:bookmarkStart w:id="336" w:name="_Toc532311577"/>
      <w:bookmarkStart w:id="337" w:name="_Toc7715463"/>
      <w:r>
        <w:t xml:space="preserve">Abbildung </w:t>
      </w:r>
      <w:fldSimple w:instr=" SEQ Abbildung \* ARABIC ">
        <w:r w:rsidR="00490DAE">
          <w:rPr>
            <w:noProof/>
          </w:rPr>
          <w:t>75</w:t>
        </w:r>
      </w:fldSimple>
      <w:r>
        <w:t>:</w:t>
      </w:r>
      <w:r w:rsidRPr="0099786D">
        <w:t>Beurteilung der Diabrotica v. virgifera Abundanz in den drei Versuchsfeldern Siloacker (Feld 1), Gomboc (Feld 2) und Langacker (Feld 3; alle Dedenitz, Steiermark) in der Pflanzsaison 2018 (n=6, Datensatz Kontrollparzellen).</w:t>
      </w:r>
      <w:bookmarkEnd w:id="336"/>
      <w:bookmarkEnd w:id="337"/>
    </w:p>
    <w:p w:rsidR="0098503C" w:rsidRPr="0098503C" w:rsidRDefault="0098503C" w:rsidP="0098503C">
      <w:pPr>
        <w:pStyle w:val="Flietext"/>
      </w:pPr>
    </w:p>
    <w:p w:rsidR="00B75D21" w:rsidRPr="0099786D" w:rsidRDefault="00B75D21" w:rsidP="00B75D21">
      <w:pPr>
        <w:pStyle w:val="11Unterkapitel"/>
      </w:pPr>
      <w:bookmarkStart w:id="338" w:name="_Toc532311624"/>
      <w:bookmarkStart w:id="339" w:name="_Toc7715629"/>
      <w:r w:rsidRPr="0099786D">
        <w:t>Käferverteilung in Abhängigkeit der Wirkstoffe</w:t>
      </w:r>
      <w:bookmarkEnd w:id="338"/>
      <w:bookmarkEnd w:id="339"/>
    </w:p>
    <w:p w:rsidR="00B75D21" w:rsidRPr="0099786D" w:rsidRDefault="00B75D21" w:rsidP="00490DAE">
      <w:pPr>
        <w:pStyle w:val="Flietext"/>
        <w:jc w:val="both"/>
      </w:pPr>
      <w:r w:rsidRPr="0099786D">
        <w:t xml:space="preserve">Ähnlich wie bei Rauch et al (2017) und Pabst (2018) konnte gezeigt werden, dass </w:t>
      </w:r>
      <w:r>
        <w:t xml:space="preserve">an allen drei Versuchstandorten </w:t>
      </w:r>
      <w:r w:rsidRPr="0099786D">
        <w:t>der Einsatz des Nematoden-Produktes dianem</w:t>
      </w:r>
      <w:r w:rsidRPr="0099786D">
        <w:rPr>
          <w:vertAlign w:val="superscript"/>
        </w:rPr>
        <w:t xml:space="preserve">TM </w:t>
      </w:r>
      <w:r w:rsidRPr="0099786D">
        <w:t xml:space="preserve">bzw. </w:t>
      </w:r>
      <w:r>
        <w:t xml:space="preserve">des </w:t>
      </w:r>
      <w:r w:rsidRPr="0099786D">
        <w:rPr>
          <w:i/>
        </w:rPr>
        <w:t>Metarhizum</w:t>
      </w:r>
      <w:r w:rsidRPr="0099786D">
        <w:t>-Produktes GranMet</w:t>
      </w:r>
      <w:r w:rsidRPr="0099786D">
        <w:rPr>
          <w:vertAlign w:val="superscript"/>
        </w:rPr>
        <w:t>TM</w:t>
      </w:r>
      <w:r w:rsidRPr="0099786D">
        <w:t xml:space="preserve">, ob alleine oder in Kombination eingesetzt, zu den geringsten Käferbefallszahlen führte. Die </w:t>
      </w:r>
      <w:r w:rsidRPr="000E7FDF">
        <w:t>biologischen Wirkstoffe bzw. Belem</w:t>
      </w:r>
      <w:r w:rsidRPr="000E7FDF">
        <w:rPr>
          <w:vertAlign w:val="superscript"/>
        </w:rPr>
        <w:t>TM</w:t>
      </w:r>
      <w:r w:rsidRPr="000E7FDF">
        <w:t xml:space="preserve"> selbst waren alle wirksam und konnten die Käferschlupfrate gegenüber den unbehandelten Kontroll-Flächen signifikant reduzieren (Spearman-Rho (2 Seitig) P &lt; 0,05, R</w:t>
      </w:r>
      <w:r w:rsidRPr="000E7FDF">
        <w:rPr>
          <w:vertAlign w:val="superscript"/>
        </w:rPr>
        <w:t>2</w:t>
      </w:r>
      <w:r w:rsidRPr="000E7FDF">
        <w:t xml:space="preserve"> = 0,045). Abbildung 7</w:t>
      </w:r>
      <w:r w:rsidR="00490DAE" w:rsidRPr="000E7FDF">
        <w:t>6</w:t>
      </w:r>
      <w:r w:rsidRPr="000E7FDF">
        <w:t xml:space="preserve"> zeigt einen</w:t>
      </w:r>
      <w:r w:rsidRPr="0099786D">
        <w:t xml:space="preserve"> Scatterplot zur Normalverteilungsprüfung mit all den verschiedenen biologischen Wirkstoff-Variationen, welche 2018 ausgetestet wurden. Je größer die Bewertungs</w:t>
      </w:r>
      <w:r>
        <w:t>z</w:t>
      </w:r>
      <w:r w:rsidRPr="0099786D">
        <w:t>ahl ist, desto mehr Käfer konnten sich im Acker zum fertilen Käfer entwickeln.</w:t>
      </w:r>
    </w:p>
    <w:p w:rsidR="00B75D21" w:rsidRPr="0099786D" w:rsidRDefault="00B75D21" w:rsidP="00B75D21">
      <w:pPr>
        <w:autoSpaceDE w:val="0"/>
        <w:autoSpaceDN w:val="0"/>
        <w:adjustRightInd w:val="0"/>
        <w:rPr>
          <w:rFonts w:eastAsia="Times New Roman"/>
          <w:noProof/>
          <w:sz w:val="24"/>
          <w:szCs w:val="24"/>
          <w:lang w:val="de-DE" w:eastAsia="de-AT"/>
        </w:rPr>
      </w:pPr>
    </w:p>
    <w:p w:rsidR="00B75D21" w:rsidRPr="0099786D" w:rsidRDefault="00B75D21" w:rsidP="00B75D21">
      <w:pPr>
        <w:autoSpaceDE w:val="0"/>
        <w:autoSpaceDN w:val="0"/>
        <w:adjustRightInd w:val="0"/>
        <w:rPr>
          <w:rFonts w:ascii="Arial" w:eastAsia="Times New Roman" w:hAnsi="Arial" w:cs="Arial"/>
          <w:b/>
          <w:sz w:val="22"/>
          <w:szCs w:val="22"/>
          <w:lang w:val="de-DE" w:eastAsia="de-AT"/>
        </w:rPr>
      </w:pPr>
      <w:r w:rsidRPr="0099786D">
        <w:rPr>
          <w:rFonts w:ascii="Arial" w:eastAsia="Times New Roman" w:hAnsi="Arial" w:cs="Arial"/>
          <w:b/>
          <w:noProof/>
          <w:sz w:val="22"/>
          <w:szCs w:val="22"/>
          <w:lang w:eastAsia="de-AT"/>
        </w:rPr>
        <w:drawing>
          <wp:inline distT="0" distB="0" distL="0" distR="0" wp14:anchorId="6F970E3E" wp14:editId="110A5F01">
            <wp:extent cx="5943600" cy="5000625"/>
            <wp:effectExtent l="0" t="0" r="0" b="0"/>
            <wp:docPr id="9244" name="Grafik 9244" title="Scatterplot zur Prüfung der Normalvertei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5943600" cy="5000625"/>
                    </a:xfrm>
                    <a:prstGeom prst="rect">
                      <a:avLst/>
                    </a:prstGeom>
                    <a:noFill/>
                    <a:ln>
                      <a:noFill/>
                    </a:ln>
                  </pic:spPr>
                </pic:pic>
              </a:graphicData>
            </a:graphic>
          </wp:inline>
        </w:drawing>
      </w:r>
    </w:p>
    <w:p w:rsidR="00B75D21" w:rsidRPr="0099786D" w:rsidRDefault="00B75D21" w:rsidP="00B75D21">
      <w:pPr>
        <w:pStyle w:val="Beschriftung"/>
      </w:pPr>
      <w:bookmarkStart w:id="340" w:name="_Toc532311578"/>
      <w:bookmarkStart w:id="341" w:name="_Toc7715464"/>
      <w:r>
        <w:t xml:space="preserve">Abbildung </w:t>
      </w:r>
      <w:fldSimple w:instr=" SEQ Abbildung \* ARABIC ">
        <w:r w:rsidR="00490DAE">
          <w:rPr>
            <w:noProof/>
          </w:rPr>
          <w:t>76</w:t>
        </w:r>
      </w:fldSimple>
      <w:r>
        <w:t>:</w:t>
      </w:r>
      <w:r w:rsidRPr="0099786D">
        <w:t xml:space="preserve"> Scatterplot zur Prüfung auf Normalverteilung (SPPS 24 )</w:t>
      </w:r>
      <w:r>
        <w:t>.</w:t>
      </w:r>
      <w:r w:rsidRPr="0099786D">
        <w:t xml:space="preserve"> </w:t>
      </w:r>
      <w:r>
        <w:t>B</w:t>
      </w:r>
      <w:r w:rsidRPr="0099786D">
        <w:t>ewertet wurden Variante (1) Nematoden + NICHT gebeiztes Saatgut; (2) Nematoden, Pilzgerste (50 kg ha</w:t>
      </w:r>
      <w:r w:rsidRPr="0099786D">
        <w:rPr>
          <w:vertAlign w:val="superscript"/>
        </w:rPr>
        <w:t>-1</w:t>
      </w:r>
      <w:r w:rsidRPr="0099786D">
        <w:t>) + NICHT gebeiztes Saatgut; (3) Nematoden + Bakterien (Bakterien gebeiztes Saatgut); (4) Belem (12 kg ha</w:t>
      </w:r>
      <w:r w:rsidRPr="0099786D">
        <w:rPr>
          <w:vertAlign w:val="superscript"/>
        </w:rPr>
        <w:t>-1</w:t>
      </w:r>
      <w:r w:rsidRPr="0099786D">
        <w:t>) + NICHT gebeiztes Saatgut; (5) Pilzgerste (50 kg ha</w:t>
      </w:r>
      <w:r w:rsidRPr="0099786D">
        <w:rPr>
          <w:vertAlign w:val="superscript"/>
        </w:rPr>
        <w:t>-1</w:t>
      </w:r>
      <w:r w:rsidRPr="0099786D">
        <w:t>) + NICHT gebeiztes Saatgut; (6) Pilzgerste (50 kg ha</w:t>
      </w:r>
      <w:r w:rsidRPr="0099786D">
        <w:rPr>
          <w:vertAlign w:val="superscript"/>
        </w:rPr>
        <w:t>-1</w:t>
      </w:r>
      <w:r w:rsidRPr="0099786D">
        <w:t>) + Bakterien (Bakterien gebeiztes Saatgut); (7) Bakterien gebeiztes Saatgut und (8) unbehandelte Parzelle (kein gebeiztes Saatgut).</w:t>
      </w:r>
      <w:bookmarkEnd w:id="340"/>
      <w:bookmarkEnd w:id="341"/>
    </w:p>
    <w:p w:rsidR="00B75D21" w:rsidRPr="0099786D" w:rsidRDefault="00B75D21" w:rsidP="0089049E">
      <w:pPr>
        <w:pStyle w:val="1Unterkapitel"/>
      </w:pPr>
      <w:r w:rsidRPr="0099786D">
        <w:rPr>
          <w:sz w:val="22"/>
          <w:szCs w:val="22"/>
          <w:lang w:eastAsia="de-AT"/>
        </w:rPr>
        <w:br w:type="page"/>
      </w:r>
      <w:bookmarkStart w:id="342" w:name="_Toc532311625"/>
      <w:bookmarkStart w:id="343" w:name="_Toc7715630"/>
      <w:r w:rsidRPr="0099786D">
        <w:t>Wurzelbonitur</w:t>
      </w:r>
      <w:bookmarkEnd w:id="342"/>
      <w:bookmarkEnd w:id="343"/>
    </w:p>
    <w:p w:rsidR="00490DAE" w:rsidRPr="0099786D" w:rsidRDefault="00B75D21" w:rsidP="00490DAE">
      <w:pPr>
        <w:spacing w:before="270" w:line="276" w:lineRule="auto"/>
        <w:jc w:val="both"/>
        <w:rPr>
          <w:rFonts w:eastAsia="Times New Roman"/>
          <w:color w:val="000000"/>
        </w:rPr>
      </w:pPr>
      <w:r w:rsidRPr="0099786D">
        <w:t>Am 24. Juli 2018, ca. drei Wochen nachdem der erste Käfer im Maisacker beobachtet werden konnte, wurden am Standort Gomboc (Feld 2) je 10 Maiswurzeln pro Behandlung ausgegraben und auf</w:t>
      </w:r>
      <w:r w:rsidR="00490DAE" w:rsidRPr="00490DAE">
        <w:rPr>
          <w:rFonts w:eastAsia="Times New Roman"/>
          <w:color w:val="000000"/>
        </w:rPr>
        <w:t xml:space="preserve"> </w:t>
      </w:r>
      <w:r w:rsidR="00490DAE" w:rsidRPr="0099786D">
        <w:rPr>
          <w:rFonts w:eastAsia="Times New Roman"/>
          <w:color w:val="000000"/>
        </w:rPr>
        <w:t xml:space="preserve">Wurzelschaden bewertet. Gomboc ist jener Standort, wo auch der größte </w:t>
      </w:r>
      <w:r w:rsidR="00490DAE" w:rsidRPr="0099786D">
        <w:rPr>
          <w:rFonts w:eastAsia="Times New Roman"/>
          <w:i/>
          <w:color w:val="000000"/>
        </w:rPr>
        <w:t>Diabrotica</w:t>
      </w:r>
      <w:r w:rsidR="00490DAE" w:rsidRPr="0099786D">
        <w:rPr>
          <w:rFonts w:eastAsia="Times New Roman"/>
          <w:color w:val="000000"/>
        </w:rPr>
        <w:t>-Befall</w:t>
      </w:r>
      <w:r w:rsidR="00490DAE" w:rsidRPr="0099786D">
        <w:rPr>
          <w:rFonts w:ascii="Arial" w:eastAsia="Times New Roman" w:hAnsi="Arial" w:cs="Arial"/>
          <w:color w:val="000000"/>
          <w:sz w:val="22"/>
          <w:szCs w:val="22"/>
        </w:rPr>
        <w:t xml:space="preserve"> </w:t>
      </w:r>
      <w:r w:rsidR="00490DAE" w:rsidRPr="0099786D">
        <w:rPr>
          <w:rFonts w:eastAsia="Times New Roman"/>
          <w:color w:val="000000"/>
        </w:rPr>
        <w:t>2018</w:t>
      </w:r>
      <w:r w:rsidR="00490DAE" w:rsidRPr="0099786D">
        <w:rPr>
          <w:rFonts w:ascii="Arial" w:eastAsia="Times New Roman" w:hAnsi="Arial" w:cs="Arial"/>
          <w:color w:val="000000"/>
          <w:sz w:val="22"/>
          <w:szCs w:val="22"/>
        </w:rPr>
        <w:t xml:space="preserve"> </w:t>
      </w:r>
      <w:r w:rsidR="00490DAE" w:rsidRPr="0099786D">
        <w:rPr>
          <w:rFonts w:eastAsia="Times New Roman"/>
          <w:color w:val="000000"/>
        </w:rPr>
        <w:t>festgestellt werden konnte und auch schon 2013 bis 2015 als Versuchsstandort für die EU-INBIOSOIL Studie diente.</w:t>
      </w:r>
    </w:p>
    <w:p w:rsidR="00490DAE" w:rsidRPr="0099786D" w:rsidRDefault="00490DAE" w:rsidP="00490DAE">
      <w:pPr>
        <w:spacing w:before="270" w:line="276" w:lineRule="auto"/>
        <w:jc w:val="both"/>
        <w:rPr>
          <w:rFonts w:eastAsia="Times New Roman"/>
          <w:color w:val="000000"/>
        </w:rPr>
      </w:pPr>
      <w:r w:rsidRPr="0099786D">
        <w:rPr>
          <w:rFonts w:eastAsia="Times New Roman"/>
          <w:color w:val="000000"/>
        </w:rPr>
        <w:t xml:space="preserve">Bedingt durch die starke Bodenfeuchte konnten die Wurzeln unbeschadet geerntet und bonitiert werden. Durch die ausgezeichnete </w:t>
      </w:r>
      <w:r w:rsidRPr="000E7FDF">
        <w:rPr>
          <w:rFonts w:eastAsia="Times New Roman"/>
          <w:color w:val="000000"/>
        </w:rPr>
        <w:t>Wasserversorgung der Pflanzen - es konnte, mit wenigen Ausnahmen im Sommer, zumindest alle vier Tage Niederschläge registriert werden - waren keine Wurzelschäden feststellbar (Node – injury scale Wert durchgehend 0,00; Abbildung 77).</w:t>
      </w:r>
    </w:p>
    <w:p w:rsidR="00490DAE" w:rsidRDefault="00490DAE">
      <w:pPr>
        <w:rPr>
          <w:color w:val="000000"/>
        </w:rPr>
      </w:pPr>
      <w:r>
        <w:br w:type="page"/>
      </w:r>
    </w:p>
    <w:p w:rsidR="00B75D21" w:rsidRPr="0099786D" w:rsidRDefault="00B75D21" w:rsidP="00B75D21">
      <w:pPr>
        <w:pStyle w:val="Flietext"/>
      </w:pPr>
    </w:p>
    <w:tbl>
      <w:tblPr>
        <w:tblW w:w="0" w:type="auto"/>
        <w:jc w:val="right"/>
        <w:tblBorders>
          <w:insideH w:val="single" w:sz="2" w:space="0" w:color="auto"/>
          <w:insideV w:val="single" w:sz="2" w:space="0" w:color="auto"/>
        </w:tblBorders>
        <w:tblLook w:val="04A0" w:firstRow="1" w:lastRow="0" w:firstColumn="1" w:lastColumn="0" w:noHBand="0" w:noVBand="1"/>
      </w:tblPr>
      <w:tblGrid>
        <w:gridCol w:w="2977"/>
        <w:gridCol w:w="5275"/>
      </w:tblGrid>
      <w:tr w:rsidR="00B75D21" w:rsidRPr="0099786D" w:rsidTr="00B75D21">
        <w:trPr>
          <w:jc w:val="right"/>
        </w:trPr>
        <w:tc>
          <w:tcPr>
            <w:tcW w:w="2977" w:type="dxa"/>
            <w:shd w:val="clear" w:color="auto" w:fill="auto"/>
            <w:vAlign w:val="center"/>
          </w:tcPr>
          <w:p w:rsidR="00B75D21" w:rsidRPr="0099786D" w:rsidRDefault="00B75D21" w:rsidP="00B75D21">
            <w:pPr>
              <w:rPr>
                <w:rFonts w:eastAsia="Times New Roman"/>
                <w:b/>
                <w:color w:val="2869A1"/>
                <w:lang w:val="de-DE" w:eastAsia="it-IT"/>
              </w:rPr>
            </w:pPr>
            <w:r w:rsidRPr="0099786D">
              <w:rPr>
                <w:rFonts w:eastAsia="Times New Roman"/>
                <w:b/>
                <w:color w:val="2869A1"/>
                <w:lang w:val="de-DE" w:eastAsia="it-IT"/>
              </w:rPr>
              <w:t>V1: Parzelle mit dianem</w:t>
            </w:r>
            <w:r w:rsidRPr="0099786D">
              <w:rPr>
                <w:rFonts w:eastAsia="Times New Roman"/>
                <w:b/>
                <w:color w:val="2869A1"/>
                <w:vertAlign w:val="superscript"/>
                <w:lang w:val="de-DE" w:eastAsia="it-IT"/>
              </w:rPr>
              <w:t xml:space="preserve">TM </w:t>
            </w:r>
            <w:r w:rsidRPr="0099786D">
              <w:rPr>
                <w:rFonts w:eastAsia="Times New Roman"/>
                <w:b/>
                <w:color w:val="2869A1"/>
                <w:lang w:val="de-DE" w:eastAsia="it-IT"/>
              </w:rPr>
              <w:t>behandelt</w:t>
            </w:r>
          </w:p>
        </w:tc>
        <w:tc>
          <w:tcPr>
            <w:tcW w:w="5275" w:type="dxa"/>
            <w:shd w:val="clear" w:color="auto" w:fill="auto"/>
            <w:vAlign w:val="center"/>
          </w:tcPr>
          <w:p w:rsidR="00B75D21" w:rsidRPr="0099786D" w:rsidRDefault="00B75D21" w:rsidP="00B75D21">
            <w:pPr>
              <w:jc w:val="both"/>
              <w:rPr>
                <w:rFonts w:ascii="Arial" w:eastAsia="Times New Roman" w:hAnsi="Arial" w:cs="Arial"/>
                <w:b/>
                <w:bCs/>
                <w:color w:val="2869A1"/>
                <w:kern w:val="32"/>
                <w:szCs w:val="24"/>
                <w:lang w:val="de-DE" w:eastAsia="it-IT"/>
              </w:rPr>
            </w:pPr>
            <w:r w:rsidRPr="0099786D">
              <w:rPr>
                <w:rFonts w:ascii="Arial" w:eastAsia="Times New Roman" w:hAnsi="Arial" w:cs="Arial"/>
                <w:b/>
                <w:bCs/>
                <w:noProof/>
                <w:color w:val="2869A1"/>
                <w:kern w:val="32"/>
                <w:szCs w:val="24"/>
                <w:lang w:eastAsia="de-AT"/>
              </w:rPr>
              <w:drawing>
                <wp:inline distT="0" distB="0" distL="0" distR="0" wp14:anchorId="55EB7437" wp14:editId="44D64D6D">
                  <wp:extent cx="2714625" cy="1800225"/>
                  <wp:effectExtent l="0" t="0" r="9525" b="9525"/>
                  <wp:docPr id="9245" name="Grafik 9245" descr="IMG_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2984"/>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2714625" cy="1800225"/>
                          </a:xfrm>
                          <a:prstGeom prst="rect">
                            <a:avLst/>
                          </a:prstGeom>
                          <a:noFill/>
                          <a:ln>
                            <a:noFill/>
                          </a:ln>
                        </pic:spPr>
                      </pic:pic>
                    </a:graphicData>
                  </a:graphic>
                </wp:inline>
              </w:drawing>
            </w:r>
          </w:p>
        </w:tc>
      </w:tr>
      <w:tr w:rsidR="00B75D21" w:rsidRPr="0099786D" w:rsidTr="00B75D21">
        <w:trPr>
          <w:jc w:val="right"/>
        </w:trPr>
        <w:tc>
          <w:tcPr>
            <w:tcW w:w="2977" w:type="dxa"/>
            <w:shd w:val="clear" w:color="auto" w:fill="auto"/>
            <w:vAlign w:val="center"/>
          </w:tcPr>
          <w:p w:rsidR="00B75D21" w:rsidRPr="0099786D" w:rsidRDefault="00B75D21" w:rsidP="00B75D21">
            <w:pPr>
              <w:rPr>
                <w:rFonts w:eastAsia="Times New Roman"/>
                <w:b/>
                <w:color w:val="2869A1"/>
                <w:lang w:val="de-DE" w:eastAsia="it-IT"/>
              </w:rPr>
            </w:pPr>
            <w:r w:rsidRPr="0099786D">
              <w:rPr>
                <w:rFonts w:eastAsia="Times New Roman"/>
                <w:b/>
                <w:color w:val="2869A1"/>
                <w:lang w:val="de-DE" w:eastAsia="it-IT"/>
              </w:rPr>
              <w:t>V2: Parzelle mit GranMet</w:t>
            </w:r>
            <w:r w:rsidRPr="0099786D">
              <w:rPr>
                <w:rFonts w:eastAsia="Times New Roman"/>
                <w:b/>
                <w:color w:val="2869A1"/>
                <w:vertAlign w:val="superscript"/>
                <w:lang w:val="de-DE" w:eastAsia="it-IT"/>
              </w:rPr>
              <w:t xml:space="preserve">TM </w:t>
            </w:r>
            <w:r w:rsidRPr="0099786D">
              <w:rPr>
                <w:rFonts w:eastAsia="Times New Roman"/>
                <w:b/>
                <w:color w:val="2869A1"/>
                <w:lang w:val="de-DE" w:eastAsia="it-IT"/>
              </w:rPr>
              <w:t>behandelt</w:t>
            </w:r>
          </w:p>
        </w:tc>
        <w:tc>
          <w:tcPr>
            <w:tcW w:w="5275" w:type="dxa"/>
            <w:shd w:val="clear" w:color="auto" w:fill="auto"/>
            <w:vAlign w:val="center"/>
          </w:tcPr>
          <w:p w:rsidR="00B75D21" w:rsidRPr="0099786D" w:rsidRDefault="00B75D21" w:rsidP="00B75D21">
            <w:pPr>
              <w:jc w:val="both"/>
              <w:rPr>
                <w:rFonts w:ascii="Arial" w:eastAsia="Times New Roman" w:hAnsi="Arial" w:cs="Arial"/>
                <w:b/>
                <w:bCs/>
                <w:kern w:val="32"/>
                <w:szCs w:val="24"/>
                <w:lang w:val="de-DE" w:eastAsia="it-IT"/>
              </w:rPr>
            </w:pPr>
            <w:r w:rsidRPr="0099786D">
              <w:rPr>
                <w:rFonts w:ascii="Arial" w:eastAsia="Times New Roman" w:hAnsi="Arial" w:cs="Arial"/>
                <w:b/>
                <w:bCs/>
                <w:noProof/>
                <w:kern w:val="32"/>
                <w:szCs w:val="24"/>
                <w:lang w:eastAsia="de-AT"/>
              </w:rPr>
              <w:drawing>
                <wp:inline distT="0" distB="0" distL="0" distR="0" wp14:anchorId="6C653A91" wp14:editId="0284C311">
                  <wp:extent cx="2695575" cy="1800225"/>
                  <wp:effectExtent l="0" t="0" r="9525" b="9525"/>
                  <wp:docPr id="9246" name="Grafik 9246" descr="IMG_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2999"/>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2695575" cy="1800225"/>
                          </a:xfrm>
                          <a:prstGeom prst="rect">
                            <a:avLst/>
                          </a:prstGeom>
                          <a:noFill/>
                          <a:ln>
                            <a:noFill/>
                          </a:ln>
                        </pic:spPr>
                      </pic:pic>
                    </a:graphicData>
                  </a:graphic>
                </wp:inline>
              </w:drawing>
            </w:r>
          </w:p>
        </w:tc>
      </w:tr>
      <w:tr w:rsidR="00B75D21" w:rsidRPr="0099786D" w:rsidTr="00B75D21">
        <w:trPr>
          <w:jc w:val="right"/>
        </w:trPr>
        <w:tc>
          <w:tcPr>
            <w:tcW w:w="2977" w:type="dxa"/>
            <w:shd w:val="clear" w:color="auto" w:fill="auto"/>
            <w:vAlign w:val="center"/>
          </w:tcPr>
          <w:p w:rsidR="00B75D21" w:rsidRPr="0099786D" w:rsidRDefault="00B75D21" w:rsidP="00B75D21">
            <w:pPr>
              <w:rPr>
                <w:rFonts w:eastAsia="Times New Roman"/>
                <w:b/>
                <w:color w:val="2869A1"/>
                <w:lang w:val="de-DE" w:eastAsia="it-IT"/>
              </w:rPr>
            </w:pPr>
            <w:r w:rsidRPr="0099786D">
              <w:rPr>
                <w:rFonts w:eastAsia="Times New Roman"/>
                <w:b/>
                <w:color w:val="2869A1"/>
                <w:lang w:val="de-DE" w:eastAsia="it-IT"/>
              </w:rPr>
              <w:t>V7: Unbehandelte Parzelle – negativ-Kontrolle</w:t>
            </w:r>
          </w:p>
        </w:tc>
        <w:tc>
          <w:tcPr>
            <w:tcW w:w="5275" w:type="dxa"/>
            <w:shd w:val="clear" w:color="auto" w:fill="auto"/>
            <w:vAlign w:val="center"/>
          </w:tcPr>
          <w:p w:rsidR="00B75D21" w:rsidRPr="0099786D" w:rsidRDefault="00B75D21" w:rsidP="00B75D21">
            <w:pPr>
              <w:jc w:val="both"/>
              <w:rPr>
                <w:rFonts w:ascii="Arial" w:eastAsia="Times New Roman" w:hAnsi="Arial" w:cs="Arial"/>
                <w:b/>
                <w:bCs/>
                <w:kern w:val="32"/>
                <w:szCs w:val="24"/>
                <w:lang w:val="de-DE" w:eastAsia="it-IT"/>
              </w:rPr>
            </w:pPr>
            <w:r w:rsidRPr="0099786D">
              <w:rPr>
                <w:rFonts w:ascii="Arial" w:eastAsia="Times New Roman" w:hAnsi="Arial" w:cs="Arial"/>
                <w:b/>
                <w:bCs/>
                <w:noProof/>
                <w:kern w:val="32"/>
                <w:szCs w:val="24"/>
                <w:lang w:eastAsia="de-AT"/>
              </w:rPr>
              <w:drawing>
                <wp:inline distT="0" distB="0" distL="0" distR="0" wp14:anchorId="3A3C165A" wp14:editId="2E3256DC">
                  <wp:extent cx="2695575" cy="1800225"/>
                  <wp:effectExtent l="0" t="0" r="9525" b="9525"/>
                  <wp:docPr id="9247" name="Grafik 9247" descr="IMG_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3013"/>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2695575" cy="1800225"/>
                          </a:xfrm>
                          <a:prstGeom prst="rect">
                            <a:avLst/>
                          </a:prstGeom>
                          <a:noFill/>
                          <a:ln>
                            <a:noFill/>
                          </a:ln>
                        </pic:spPr>
                      </pic:pic>
                    </a:graphicData>
                  </a:graphic>
                </wp:inline>
              </w:drawing>
            </w:r>
          </w:p>
        </w:tc>
      </w:tr>
      <w:tr w:rsidR="00B75D21" w:rsidRPr="0099786D" w:rsidTr="00B75D21">
        <w:trPr>
          <w:jc w:val="right"/>
        </w:trPr>
        <w:tc>
          <w:tcPr>
            <w:tcW w:w="2977" w:type="dxa"/>
            <w:shd w:val="clear" w:color="auto" w:fill="auto"/>
            <w:vAlign w:val="center"/>
          </w:tcPr>
          <w:p w:rsidR="00B75D21" w:rsidRPr="0099786D" w:rsidRDefault="00B75D21" w:rsidP="00B75D21">
            <w:pPr>
              <w:rPr>
                <w:rFonts w:eastAsia="Times New Roman"/>
                <w:b/>
                <w:color w:val="2869A1"/>
                <w:lang w:val="de-DE" w:eastAsia="it-IT"/>
              </w:rPr>
            </w:pPr>
            <w:r w:rsidRPr="0099786D">
              <w:rPr>
                <w:rFonts w:eastAsia="Times New Roman"/>
                <w:b/>
                <w:color w:val="2869A1"/>
                <w:lang w:val="de-DE" w:eastAsia="it-IT"/>
              </w:rPr>
              <w:t>V8: Parzelle mit Belem</w:t>
            </w:r>
            <w:r w:rsidRPr="0099786D">
              <w:rPr>
                <w:rFonts w:eastAsia="Times New Roman"/>
                <w:b/>
                <w:color w:val="2869A1"/>
                <w:vertAlign w:val="superscript"/>
                <w:lang w:val="de-DE" w:eastAsia="it-IT"/>
              </w:rPr>
              <w:t xml:space="preserve">TM </w:t>
            </w:r>
            <w:r w:rsidRPr="0099786D">
              <w:rPr>
                <w:rFonts w:eastAsia="Times New Roman"/>
                <w:b/>
                <w:color w:val="2869A1"/>
                <w:lang w:val="de-DE" w:eastAsia="it-IT"/>
              </w:rPr>
              <w:t>behandelt</w:t>
            </w:r>
          </w:p>
        </w:tc>
        <w:tc>
          <w:tcPr>
            <w:tcW w:w="5275" w:type="dxa"/>
            <w:shd w:val="clear" w:color="auto" w:fill="auto"/>
            <w:vAlign w:val="center"/>
          </w:tcPr>
          <w:p w:rsidR="00B75D21" w:rsidRPr="0099786D" w:rsidRDefault="00B75D21" w:rsidP="00B75D21">
            <w:pPr>
              <w:jc w:val="both"/>
              <w:rPr>
                <w:rFonts w:eastAsia="Times New Roman"/>
                <w:lang w:val="de-DE" w:eastAsia="de-DE"/>
              </w:rPr>
            </w:pPr>
            <w:r w:rsidRPr="0099786D">
              <w:rPr>
                <w:rFonts w:eastAsia="Times New Roman"/>
                <w:noProof/>
                <w:lang w:eastAsia="de-AT"/>
              </w:rPr>
              <w:drawing>
                <wp:inline distT="0" distB="0" distL="0" distR="0" wp14:anchorId="5C3B106F" wp14:editId="60F25C59">
                  <wp:extent cx="2686050" cy="1800225"/>
                  <wp:effectExtent l="0" t="0" r="0" b="9525"/>
                  <wp:docPr id="9248" name="Grafik 9248" descr="IMG_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3052"/>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2686050" cy="1800225"/>
                          </a:xfrm>
                          <a:prstGeom prst="rect">
                            <a:avLst/>
                          </a:prstGeom>
                          <a:noFill/>
                          <a:ln>
                            <a:noFill/>
                          </a:ln>
                        </pic:spPr>
                      </pic:pic>
                    </a:graphicData>
                  </a:graphic>
                </wp:inline>
              </w:drawing>
            </w:r>
          </w:p>
        </w:tc>
      </w:tr>
    </w:tbl>
    <w:p w:rsidR="00B75D21" w:rsidRPr="0099786D" w:rsidRDefault="00B75D21" w:rsidP="00490DAE">
      <w:pPr>
        <w:pStyle w:val="Beschriftung"/>
        <w:jc w:val="both"/>
      </w:pPr>
      <w:bookmarkStart w:id="344" w:name="_Toc532311579"/>
      <w:bookmarkStart w:id="345" w:name="_Toc7715465"/>
      <w:r>
        <w:t xml:space="preserve">Abbildung </w:t>
      </w:r>
      <w:fldSimple w:instr=" SEQ Abbildung \* ARABIC ">
        <w:r w:rsidR="00490DAE">
          <w:rPr>
            <w:noProof/>
          </w:rPr>
          <w:t>77</w:t>
        </w:r>
      </w:fldSimple>
      <w:r>
        <w:t>:</w:t>
      </w:r>
      <w:r w:rsidRPr="0099786D">
        <w:t xml:space="preserve"> Wurzelbonitur gemäß EPPO Richtlinie 2011 - PP 1/212(2) Annex 2-  bewertet (Node – injury scale; n = 5 Maiswurzeln pro Versuchsparzelle). Alle Varianten konnten mit Wert 0,00 bestimmt werden. Auf dem Blatt sind die Varianten gekennzeichnet (V1) Nematoden + NICHT gebeiztes Saatgut; (V2) Pilzgerste + NICHT gebeiztes Saatgut; (V7) unbehandelte Parzelle (kein gebeiztes Saatgut) und (V8) Belem + NICHT gebeiztes Saatgut. Die zweite Zahl definiert die Reihe im Versuchsfeld 2 „Gomboc“.</w:t>
      </w:r>
      <w:bookmarkEnd w:id="344"/>
      <w:bookmarkEnd w:id="345"/>
    </w:p>
    <w:p w:rsidR="00B75D21" w:rsidRPr="0099786D" w:rsidRDefault="00B75D21" w:rsidP="0089049E">
      <w:pPr>
        <w:pStyle w:val="1Unterkapitel"/>
      </w:pPr>
      <w:r w:rsidRPr="0099786D">
        <w:rPr>
          <w:rFonts w:eastAsia="Times New Roman"/>
        </w:rPr>
        <w:br w:type="page"/>
      </w:r>
      <w:bookmarkStart w:id="346" w:name="_Toc532311626"/>
      <w:r w:rsidR="00490DAE" w:rsidRPr="0099786D">
        <w:t xml:space="preserve"> </w:t>
      </w:r>
      <w:bookmarkStart w:id="347" w:name="_Toc7715631"/>
      <w:r w:rsidRPr="0099786D">
        <w:t>Pflanzenbonitur</w:t>
      </w:r>
      <w:bookmarkEnd w:id="346"/>
      <w:bookmarkEnd w:id="347"/>
    </w:p>
    <w:p w:rsidR="00B75D21" w:rsidRPr="0099786D" w:rsidRDefault="00B75D21" w:rsidP="00490DAE">
      <w:pPr>
        <w:pStyle w:val="Flietext"/>
        <w:jc w:val="both"/>
      </w:pPr>
      <w:r w:rsidRPr="0099786D">
        <w:t xml:space="preserve">Die Intensität der Gänsehalssymptome bei den Maispflanzen waren an allen drei Versuchsstandorten mit </w:t>
      </w:r>
      <w:r>
        <w:t>&lt; 1,</w:t>
      </w:r>
      <w:r w:rsidRPr="0099786D">
        <w:t>25 Pro</w:t>
      </w:r>
      <w:r>
        <w:t>zent vernachlässigbar, obwohl die</w:t>
      </w:r>
      <w:r w:rsidRPr="0099786D">
        <w:t xml:space="preserve"> </w:t>
      </w:r>
      <w:r w:rsidRPr="0099786D">
        <w:rPr>
          <w:i/>
        </w:rPr>
        <w:t xml:space="preserve">Diabrotica </w:t>
      </w:r>
      <w:r>
        <w:t>Alarmzahl</w:t>
      </w:r>
      <w:r w:rsidRPr="0099786D">
        <w:t xml:space="preserve">, mit durchschnittlich 63 Individuen pro </w:t>
      </w:r>
      <w:r w:rsidRPr="000E7FDF">
        <w:t>Quadratmeter um das Neunfache überschritten war (Schwellenwert ≥ 7 Käfer m</w:t>
      </w:r>
      <w:r w:rsidRPr="000E7FDF">
        <w:rPr>
          <w:vertAlign w:val="superscript"/>
        </w:rPr>
        <w:t>-2</w:t>
      </w:r>
      <w:r w:rsidRPr="000E7FDF">
        <w:t xml:space="preserve">). Die Anzahl der gesunden, nicht geschädigten Pflanzen war hoch signifikant höher gegenüber den drei anderen Bonitur-Kategorien (Abbildung </w:t>
      </w:r>
      <w:r w:rsidR="0023787B" w:rsidRPr="000E7FDF">
        <w:t>78</w:t>
      </w:r>
      <w:r w:rsidRPr="000E7FDF">
        <w:t>).</w:t>
      </w:r>
    </w:p>
    <w:p w:rsidR="00B75D21" w:rsidRPr="0099786D" w:rsidRDefault="00B75D21" w:rsidP="00B75D21">
      <w:pPr>
        <w:rPr>
          <w:rFonts w:ascii="MetaCorr" w:eastAsia="Times New Roman" w:hAnsi="MetaCorr"/>
          <w:sz w:val="24"/>
          <w:szCs w:val="24"/>
        </w:rPr>
      </w:pPr>
    </w:p>
    <w:p w:rsidR="00B75D21" w:rsidRPr="0099786D" w:rsidRDefault="00B75D21" w:rsidP="00B75D21">
      <w:pPr>
        <w:rPr>
          <w:rFonts w:ascii="Arial" w:eastAsia="Times New Roman" w:hAnsi="Arial" w:cs="Arial"/>
          <w:sz w:val="22"/>
          <w:szCs w:val="22"/>
          <w:lang w:val="de-DE" w:eastAsia="de-AT"/>
        </w:rPr>
      </w:pPr>
      <w:r w:rsidRPr="0099786D">
        <w:rPr>
          <w:rFonts w:ascii="MetaCorr" w:eastAsia="Times New Roman" w:hAnsi="MetaCorr"/>
          <w:b/>
          <w:bCs/>
          <w:noProof/>
          <w:color w:val="000000"/>
          <w:sz w:val="24"/>
          <w:szCs w:val="24"/>
          <w:lang w:eastAsia="de-AT"/>
        </w:rPr>
        <w:drawing>
          <wp:inline distT="0" distB="0" distL="0" distR="0" wp14:anchorId="4CCD9CFF" wp14:editId="070CB43D">
            <wp:extent cx="5943600" cy="4810125"/>
            <wp:effectExtent l="0" t="0" r="0" b="9525"/>
            <wp:docPr id="9249" name="Grafik 9249" title="Anzahl der bonitierten Pflanzen gereiht nach Intensität der Gänsehalssympt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9">
                      <a:extLst>
                        <a:ext uri="{28A0092B-C50C-407E-A947-70E740481C1C}">
                          <a14:useLocalDpi xmlns:a14="http://schemas.microsoft.com/office/drawing/2010/main"/>
                        </a:ext>
                      </a:extLst>
                    </a:blip>
                    <a:srcRect/>
                    <a:stretch>
                      <a:fillRect/>
                    </a:stretch>
                  </pic:blipFill>
                  <pic:spPr bwMode="auto">
                    <a:xfrm>
                      <a:off x="0" y="0"/>
                      <a:ext cx="5943600" cy="4810125"/>
                    </a:xfrm>
                    <a:prstGeom prst="rect">
                      <a:avLst/>
                    </a:prstGeom>
                    <a:noFill/>
                    <a:ln>
                      <a:noFill/>
                    </a:ln>
                  </pic:spPr>
                </pic:pic>
              </a:graphicData>
            </a:graphic>
          </wp:inline>
        </w:drawing>
      </w:r>
    </w:p>
    <w:p w:rsidR="00B75D21" w:rsidRPr="0099786D" w:rsidRDefault="00B75D21" w:rsidP="00B75D21">
      <w:pPr>
        <w:pStyle w:val="Beschriftung"/>
      </w:pPr>
      <w:bookmarkStart w:id="348" w:name="_Toc532311580"/>
      <w:bookmarkStart w:id="349" w:name="_Toc7715466"/>
      <w:r>
        <w:t xml:space="preserve">Abbildung </w:t>
      </w:r>
      <w:fldSimple w:instr=" SEQ Abbildung \* ARABIC ">
        <w:r w:rsidR="0023787B">
          <w:rPr>
            <w:noProof/>
          </w:rPr>
          <w:t>78</w:t>
        </w:r>
      </w:fldSimple>
      <w:r>
        <w:t>:</w:t>
      </w:r>
      <w:r w:rsidRPr="0099786D">
        <w:t xml:space="preserve"> Anzahl der bonitierten Pflanzen gereiht nach Intensität der Gänsehalssymptome. Neigungsgrade von 1 bis 4: 1 = komplett aufrecht; 2 = leichte Neigung bis 30 ° von vertikal mit Gänsehals; 3 =starke Neigung über 30 ° von vertikal mit Gänsehals; 4 = Pflanze lagert – </w:t>
      </w:r>
      <w:r>
        <w:t>Erntehindernis</w:t>
      </w:r>
      <w:r w:rsidRPr="0099786D">
        <w:t xml:space="preserve"> (n= 35.000).</w:t>
      </w:r>
      <w:bookmarkEnd w:id="348"/>
      <w:bookmarkEnd w:id="349"/>
    </w:p>
    <w:p w:rsidR="00B75D21" w:rsidRPr="0099786D" w:rsidRDefault="00B75D21" w:rsidP="0089049E">
      <w:pPr>
        <w:pStyle w:val="1Unterkapitel"/>
      </w:pPr>
      <w:r w:rsidRPr="0099786D">
        <w:br w:type="page"/>
      </w:r>
      <w:bookmarkStart w:id="350" w:name="_Toc532311627"/>
      <w:bookmarkStart w:id="351" w:name="_Toc7715632"/>
      <w:r w:rsidRPr="0099786D">
        <w:t>Ertrag in Abhängigkeit der Wirkstoffe</w:t>
      </w:r>
      <w:bookmarkEnd w:id="350"/>
      <w:bookmarkEnd w:id="351"/>
    </w:p>
    <w:p w:rsidR="00B75D21" w:rsidRPr="0099786D" w:rsidRDefault="00B75D21" w:rsidP="0023787B">
      <w:pPr>
        <w:pStyle w:val="Flietext"/>
        <w:jc w:val="both"/>
      </w:pPr>
      <w:r w:rsidRPr="0099786D">
        <w:t>Es wurden mit ca. 11,2 t Körnermais ha</w:t>
      </w:r>
      <w:r w:rsidRPr="0099786D">
        <w:rPr>
          <w:vertAlign w:val="superscript"/>
        </w:rPr>
        <w:t>-1</w:t>
      </w:r>
      <w:r w:rsidRPr="0099786D">
        <w:t xml:space="preserve"> (± 0,5535 STABW) ein überdurchschnittlich hoher Ertrag im Befallsgebiet Dedenitz geerntet (Max. 12,48 t Mais ha</w:t>
      </w:r>
      <w:r w:rsidRPr="0099786D">
        <w:rPr>
          <w:vertAlign w:val="superscript"/>
        </w:rPr>
        <w:t>-1</w:t>
      </w:r>
      <w:r w:rsidRPr="0099786D">
        <w:t>; Min. 9,67 Mais ha</w:t>
      </w:r>
      <w:r w:rsidRPr="0099786D">
        <w:rPr>
          <w:vertAlign w:val="superscript"/>
        </w:rPr>
        <w:t>-1</w:t>
      </w:r>
      <w:r w:rsidRPr="0099786D">
        <w:t xml:space="preserve">). Dieser hohe Ertrag konnte erzielt werden, da neben der nachhaltigen Bodenbearbeitung, unter Bedachtnahme der Erhaltung der Bodenfruchtbarkeit und des Bodenlebens, besonders im Sommer 2018, mit wenigen Ausnahmen, es stets ausreichend Niederschläge in der Region gegeben </w:t>
      </w:r>
      <w:r w:rsidRPr="000E7FDF">
        <w:t xml:space="preserve">hat (Abbildung </w:t>
      </w:r>
      <w:r w:rsidR="0023787B" w:rsidRPr="000E7FDF">
        <w:t>79</w:t>
      </w:r>
      <w:r w:rsidRPr="000E7FDF">
        <w:t>).</w:t>
      </w:r>
    </w:p>
    <w:p w:rsidR="00B75D21" w:rsidRPr="0099786D" w:rsidRDefault="00B75D21" w:rsidP="00B75D21">
      <w:pPr>
        <w:rPr>
          <w:rFonts w:ascii="MetaCorr" w:eastAsia="Times New Roman" w:hAnsi="MetaCorr"/>
          <w:sz w:val="24"/>
          <w:szCs w:val="24"/>
        </w:rPr>
      </w:pPr>
    </w:p>
    <w:p w:rsidR="00B75D21" w:rsidRPr="0099786D" w:rsidRDefault="00B75D21" w:rsidP="00B75D21">
      <w:pPr>
        <w:rPr>
          <w:rFonts w:ascii="MetaCorr" w:eastAsia="Times New Roman" w:hAnsi="MetaCorr"/>
          <w:noProof/>
          <w:sz w:val="24"/>
          <w:szCs w:val="24"/>
          <w:lang w:eastAsia="de-AT"/>
        </w:rPr>
      </w:pPr>
      <w:r w:rsidRPr="0099786D">
        <w:rPr>
          <w:rFonts w:ascii="MetaCorr" w:eastAsia="Times New Roman" w:hAnsi="MetaCorr"/>
          <w:noProof/>
          <w:sz w:val="24"/>
          <w:szCs w:val="24"/>
          <w:lang w:eastAsia="de-AT"/>
        </w:rPr>
        <w:drawing>
          <wp:inline distT="0" distB="0" distL="0" distR="0" wp14:anchorId="0D6B3439" wp14:editId="64BF1AB0">
            <wp:extent cx="5943600" cy="2038350"/>
            <wp:effectExtent l="0" t="0" r="0" b="0"/>
            <wp:docPr id="9250" name="Grafik 9250" title="Niederschlagsmenge pro Monat in mm für die Pflanzensaison 2017 und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5943600" cy="2038350"/>
                    </a:xfrm>
                    <a:prstGeom prst="rect">
                      <a:avLst/>
                    </a:prstGeom>
                    <a:noFill/>
                    <a:ln>
                      <a:noFill/>
                    </a:ln>
                  </pic:spPr>
                </pic:pic>
              </a:graphicData>
            </a:graphic>
          </wp:inline>
        </w:drawing>
      </w:r>
    </w:p>
    <w:p w:rsidR="00B75D21" w:rsidRPr="0099786D" w:rsidRDefault="00B75D21" w:rsidP="00B75D21">
      <w:pPr>
        <w:pStyle w:val="Beschriftung"/>
        <w:rPr>
          <w:noProof/>
          <w:lang w:eastAsia="de-AT"/>
        </w:rPr>
      </w:pPr>
      <w:bookmarkStart w:id="352" w:name="_Toc532311581"/>
      <w:bookmarkStart w:id="353" w:name="_Toc7715467"/>
      <w:r>
        <w:t xml:space="preserve">Abbildung </w:t>
      </w:r>
      <w:fldSimple w:instr=" SEQ Abbildung \* ARABIC ">
        <w:r w:rsidR="0023787B">
          <w:rPr>
            <w:noProof/>
          </w:rPr>
          <w:t>79</w:t>
        </w:r>
      </w:fldSimple>
      <w:r>
        <w:t>:</w:t>
      </w:r>
      <w:r w:rsidRPr="0099786D">
        <w:t xml:space="preserve"> Niederschlagsmenge pro Monat in mm für die Pflanzsaison 2017 und 2018 (zur Verfügung gestellt von RWA Donnersdorf; Datenquelle ZAMG ©).</w:t>
      </w:r>
      <w:bookmarkEnd w:id="352"/>
      <w:bookmarkEnd w:id="353"/>
    </w:p>
    <w:p w:rsidR="00BA0E61" w:rsidRDefault="00B75D21" w:rsidP="00B75D21">
      <w:pPr>
        <w:spacing w:before="270" w:line="276" w:lineRule="auto"/>
        <w:rPr>
          <w:rFonts w:eastAsia="Times New Roman"/>
          <w:color w:val="000000"/>
        </w:rPr>
      </w:pPr>
      <w:r w:rsidRPr="002A35C3">
        <w:rPr>
          <w:rFonts w:eastAsia="Times New Roman"/>
          <w:b/>
          <w:bCs/>
          <w:color w:val="000000"/>
        </w:rPr>
        <w:t>Feldstück, Versuchs-Wiederholung, Wirkstoffwahl und Käfer-Abundanz hatten keinen Einfluss auf den Maisertrag</w:t>
      </w:r>
      <w:r w:rsidRPr="002A35C3">
        <w:rPr>
          <w:rFonts w:eastAsia="Times New Roman"/>
          <w:color w:val="000000"/>
        </w:rPr>
        <w:t>, welcher 2018 geerntet wurde. Diese Aussage wurde mit der multivariaten Regressionsanalyse errechnet und bestätigt (Beta Werte der Koeffizienten – A</w:t>
      </w:r>
      <w:r w:rsidRPr="000E7FDF">
        <w:rPr>
          <w:rFonts w:eastAsia="Times New Roman"/>
          <w:color w:val="000000"/>
        </w:rPr>
        <w:t>nalyse; Einstichproben Test – kein Prädiktor war signifikant, SPSS Statistics 24.0)</w:t>
      </w:r>
      <w:r w:rsidR="002A35C3" w:rsidRPr="000E7FDF">
        <w:rPr>
          <w:rFonts w:eastAsia="Times New Roman"/>
          <w:color w:val="000000"/>
        </w:rPr>
        <w:t xml:space="preserve"> (Abbildung 80 und 81)</w:t>
      </w:r>
      <w:r w:rsidRPr="000E7FDF">
        <w:rPr>
          <w:rFonts w:eastAsia="Times New Roman"/>
          <w:color w:val="000000"/>
        </w:rPr>
        <w:t>.</w:t>
      </w:r>
    </w:p>
    <w:p w:rsidR="00BA0E61" w:rsidRDefault="00BA0E61" w:rsidP="00B75D21">
      <w:pPr>
        <w:spacing w:before="270" w:line="276" w:lineRule="auto"/>
        <w:rPr>
          <w:rFonts w:eastAsia="Times New Roman"/>
          <w:color w:val="000000"/>
        </w:rPr>
      </w:pPr>
    </w:p>
    <w:p w:rsidR="001A0190" w:rsidRPr="001A0190" w:rsidRDefault="002A35C3" w:rsidP="00BA0E61">
      <w:pPr>
        <w:pStyle w:val="Beschriftung"/>
      </w:pPr>
      <w:bookmarkStart w:id="354" w:name="_Toc7715468"/>
      <w:r>
        <w:rPr>
          <w:rFonts w:eastAsia="Times New Roman"/>
          <w:noProof/>
          <w:sz w:val="24"/>
          <w:szCs w:val="24"/>
          <w:lang w:eastAsia="de-AT"/>
        </w:rPr>
        <w:drawing>
          <wp:inline distT="0" distB="0" distL="0" distR="0" wp14:anchorId="126FC3AF" wp14:editId="64B2B9B5">
            <wp:extent cx="3467100" cy="2917031"/>
            <wp:effectExtent l="0" t="0" r="0" b="0"/>
            <wp:docPr id="9312" name="Grafik 9312" descr="cid:image002.png@01D4703A.55D16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id:image002.png@01D4703A.55D16F7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467511" cy="2917377"/>
                    </a:xfrm>
                    <a:prstGeom prst="rect">
                      <a:avLst/>
                    </a:prstGeom>
                    <a:noFill/>
                    <a:ln>
                      <a:noFill/>
                    </a:ln>
                  </pic:spPr>
                </pic:pic>
              </a:graphicData>
            </a:graphic>
          </wp:inline>
        </w:drawing>
      </w:r>
      <w:r w:rsidRPr="004428DB">
        <w:rPr>
          <w:rFonts w:eastAsia="Times New Roman"/>
          <w:sz w:val="24"/>
          <w:szCs w:val="24"/>
          <w:lang w:eastAsia="de-DE"/>
        </w:rPr>
        <w:br/>
      </w:r>
      <w:r>
        <w:t xml:space="preserve">Abbildung </w:t>
      </w:r>
      <w:fldSimple w:instr=" SEQ Abbildung \* ARABIC ">
        <w:r>
          <w:rPr>
            <w:noProof/>
          </w:rPr>
          <w:t>80</w:t>
        </w:r>
      </w:fldSimple>
      <w:r>
        <w:t>:</w:t>
      </w:r>
      <w:r w:rsidRPr="002A35C3">
        <w:t xml:space="preserve"> </w:t>
      </w:r>
      <w:r>
        <w:t>Der Versuchsstandort hatte</w:t>
      </w:r>
      <w:r w:rsidRPr="002A35C3">
        <w:t xml:space="preserve"> keinen unmittelbaren Einfluss auf den </w:t>
      </w:r>
      <w:r>
        <w:t>Ernteertrag</w:t>
      </w:r>
      <w:r w:rsidRPr="002A35C3">
        <w:t>. Gemäß Spearman Rho</w:t>
      </w:r>
      <w:r w:rsidR="00BA0E61">
        <w:t xml:space="preserve"> </w:t>
      </w:r>
      <w:r w:rsidRPr="002A35C3">
        <w:t>Test kann auch kein direkter Zusammenhang zwischen dem Ertrag und den Versuchsstandorten festgestellt werden (R</w:t>
      </w:r>
      <w:r w:rsidRPr="002A35C3">
        <w:rPr>
          <w:vertAlign w:val="superscript"/>
        </w:rPr>
        <w:t>2</w:t>
      </w:r>
      <w:r w:rsidRPr="002A35C3">
        <w:t xml:space="preserve"> = 0,317, n=144).</w:t>
      </w:r>
      <w:bookmarkEnd w:id="354"/>
      <w:r w:rsidRPr="0099786D">
        <w:t xml:space="preserve"> </w:t>
      </w:r>
    </w:p>
    <w:p w:rsidR="002A35C3" w:rsidRPr="0099786D" w:rsidRDefault="0089049E" w:rsidP="002A35C3">
      <w:pPr>
        <w:pStyle w:val="Beschriftung"/>
        <w:rPr>
          <w:noProof/>
          <w:lang w:eastAsia="de-AT"/>
        </w:rPr>
      </w:pPr>
      <w:r w:rsidRPr="004428DB">
        <w:rPr>
          <w:rFonts w:eastAsia="Times New Roman"/>
        </w:rPr>
        <w:t> </w:t>
      </w:r>
      <w:bookmarkStart w:id="355" w:name="_Toc7715469"/>
      <w:r>
        <w:rPr>
          <w:rFonts w:eastAsia="Times New Roman"/>
          <w:noProof/>
          <w:sz w:val="24"/>
          <w:szCs w:val="24"/>
          <w:lang w:eastAsia="de-AT"/>
        </w:rPr>
        <w:drawing>
          <wp:inline distT="0" distB="0" distL="0" distR="0" wp14:anchorId="378B4A3E" wp14:editId="75ABFF2B">
            <wp:extent cx="2954818" cy="2486025"/>
            <wp:effectExtent l="0" t="0" r="0" b="0"/>
            <wp:docPr id="9313" name="Grafik 9313" descr="cid:image001.png@01D4703A.55D16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id:image001.png@01D4703A.55D16F7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54818" cy="2486025"/>
                    </a:xfrm>
                    <a:prstGeom prst="rect">
                      <a:avLst/>
                    </a:prstGeom>
                    <a:noFill/>
                    <a:ln>
                      <a:noFill/>
                    </a:ln>
                  </pic:spPr>
                </pic:pic>
              </a:graphicData>
            </a:graphic>
          </wp:inline>
        </w:drawing>
      </w:r>
      <w:r w:rsidR="002A35C3">
        <w:rPr>
          <w:rFonts w:eastAsia="Times New Roman"/>
        </w:rPr>
        <w:br/>
      </w:r>
      <w:r w:rsidR="002A35C3">
        <w:t xml:space="preserve">Abbildung </w:t>
      </w:r>
      <w:fldSimple w:instr=" SEQ Abbildung \* ARABIC ">
        <w:r w:rsidR="002A35C3">
          <w:rPr>
            <w:noProof/>
          </w:rPr>
          <w:t>81</w:t>
        </w:r>
      </w:fldSimple>
      <w:r w:rsidR="002A35C3">
        <w:t>:</w:t>
      </w:r>
      <w:r w:rsidR="002A35C3" w:rsidRPr="0099786D">
        <w:t xml:space="preserve"> </w:t>
      </w:r>
      <w:r w:rsidR="002A35C3">
        <w:t xml:space="preserve">Ertrag in Abhängigkeit der Wirkstoffe. </w:t>
      </w:r>
      <w:r w:rsidR="002A35C3" w:rsidRPr="002A35C3">
        <w:t>Es besteht kein linearer Zusammenhang zwischen den einzelnen Varianten (Wirkstoffen) und dem Ernteertag pro Hektar</w:t>
      </w:r>
      <w:bookmarkEnd w:id="355"/>
      <w:r w:rsidR="002A35C3" w:rsidRPr="002A35C3">
        <w:t xml:space="preserve"> </w:t>
      </w:r>
    </w:p>
    <w:p w:rsidR="0089049E" w:rsidRDefault="0089049E" w:rsidP="00B75D21">
      <w:pPr>
        <w:spacing w:before="270" w:line="276" w:lineRule="auto"/>
        <w:rPr>
          <w:rFonts w:eastAsia="Times New Roman"/>
          <w:color w:val="000000"/>
        </w:rPr>
      </w:pPr>
    </w:p>
    <w:p w:rsidR="00B75D21" w:rsidRPr="0099786D" w:rsidRDefault="00B75D21" w:rsidP="002A35C3">
      <w:pPr>
        <w:pStyle w:val="1Unterkapitel"/>
      </w:pPr>
      <w:bookmarkStart w:id="356" w:name="_Toc532311628"/>
      <w:bookmarkStart w:id="357" w:name="_Toc7715633"/>
      <w:r w:rsidRPr="0099786D">
        <w:t>Pilzabundanz nach einmaliger Wirkstoffapplikation</w:t>
      </w:r>
      <w:bookmarkEnd w:id="356"/>
      <w:bookmarkEnd w:id="357"/>
    </w:p>
    <w:p w:rsidR="00B75D21" w:rsidRPr="0099786D" w:rsidRDefault="00B75D21" w:rsidP="002A35C3">
      <w:pPr>
        <w:spacing w:before="270" w:line="270" w:lineRule="exact"/>
        <w:jc w:val="both"/>
        <w:rPr>
          <w:rFonts w:eastAsia="Times New Roman"/>
          <w:color w:val="000000"/>
        </w:rPr>
      </w:pPr>
      <w:r w:rsidRPr="0099786D">
        <w:rPr>
          <w:rFonts w:eastAsia="Times New Roman"/>
          <w:color w:val="000000"/>
        </w:rPr>
        <w:t xml:space="preserve">Die </w:t>
      </w:r>
      <w:r w:rsidRPr="0099786D">
        <w:rPr>
          <w:rFonts w:eastAsia="Times New Roman"/>
          <w:i/>
          <w:color w:val="000000"/>
        </w:rPr>
        <w:t>M. brunneum</w:t>
      </w:r>
      <w:r w:rsidRPr="0099786D">
        <w:rPr>
          <w:rFonts w:eastAsia="Times New Roman"/>
          <w:color w:val="000000"/>
        </w:rPr>
        <w:t xml:space="preserve"> Pilzdichte konnte durch ein einmaliges Applizieren des Wirkstoffs GranMet</w:t>
      </w:r>
      <w:r w:rsidRPr="0099786D">
        <w:rPr>
          <w:rFonts w:eastAsia="Times New Roman"/>
          <w:color w:val="000000"/>
          <w:vertAlign w:val="superscript"/>
        </w:rPr>
        <w:t xml:space="preserve">TM </w:t>
      </w:r>
      <w:r w:rsidRPr="0099786D">
        <w:rPr>
          <w:rFonts w:eastAsia="Times New Roman"/>
          <w:color w:val="000000"/>
        </w:rPr>
        <w:t xml:space="preserve">auf das Abundanzniveau von 5.000 </w:t>
      </w:r>
      <w:r w:rsidRPr="000E7FDF">
        <w:rPr>
          <w:rFonts w:eastAsia="Times New Roman"/>
          <w:color w:val="000000"/>
        </w:rPr>
        <w:t>Koloniebildende Einheiten pro Gramm Boden Trockengewicht (KBE g</w:t>
      </w:r>
      <w:r w:rsidRPr="000E7FDF">
        <w:rPr>
          <w:rFonts w:eastAsia="Times New Roman"/>
          <w:color w:val="000000"/>
          <w:vertAlign w:val="superscript"/>
        </w:rPr>
        <w:t>-1</w:t>
      </w:r>
      <w:r w:rsidRPr="000E7FDF">
        <w:rPr>
          <w:rFonts w:eastAsia="Times New Roman"/>
          <w:color w:val="000000"/>
        </w:rPr>
        <w:t xml:space="preserve"> TG) und höher angehoben werden (Abbildung </w:t>
      </w:r>
      <w:r w:rsidR="002A35C3" w:rsidRPr="000E7FDF">
        <w:rPr>
          <w:rFonts w:eastAsia="Times New Roman"/>
          <w:color w:val="000000"/>
        </w:rPr>
        <w:t>82</w:t>
      </w:r>
      <w:r w:rsidRPr="000E7FDF">
        <w:rPr>
          <w:rFonts w:eastAsia="Times New Roman"/>
          <w:color w:val="000000"/>
        </w:rPr>
        <w:t>). Etwaige</w:t>
      </w:r>
      <w:r w:rsidRPr="0099786D">
        <w:rPr>
          <w:rFonts w:eastAsia="Times New Roman"/>
          <w:color w:val="000000"/>
        </w:rPr>
        <w:t xml:space="preserve"> Rückschlüsse auf die tatsächliche Wirkung des Pilzes </w:t>
      </w:r>
      <w:r w:rsidRPr="0099786D">
        <w:rPr>
          <w:rFonts w:eastAsia="Times New Roman"/>
          <w:i/>
          <w:color w:val="000000"/>
        </w:rPr>
        <w:t>Metarhizium</w:t>
      </w:r>
      <w:r w:rsidRPr="0099786D">
        <w:rPr>
          <w:rFonts w:eastAsia="Times New Roman"/>
          <w:color w:val="000000"/>
        </w:rPr>
        <w:t xml:space="preserve"> konnten im Feldversuch nur indirekt erbracht werden, indem festgestellt werden konnte, dass die Käferschlupfraten in allen </w:t>
      </w:r>
      <w:r w:rsidRPr="0099786D">
        <w:rPr>
          <w:rFonts w:eastAsia="Times New Roman"/>
          <w:i/>
          <w:color w:val="000000"/>
        </w:rPr>
        <w:t>Metarhizium</w:t>
      </w:r>
      <w:r w:rsidRPr="0099786D">
        <w:rPr>
          <w:rFonts w:eastAsia="Times New Roman"/>
          <w:color w:val="000000"/>
        </w:rPr>
        <w:t xml:space="preserve"> behandelten Parzellen signifikant niedriger waren als in den unbehandelten Versuchsparzellen.</w:t>
      </w:r>
    </w:p>
    <w:p w:rsidR="002A35C3" w:rsidRPr="000E7FDF" w:rsidRDefault="00B75D21" w:rsidP="002A35C3">
      <w:pPr>
        <w:spacing w:before="270" w:line="276" w:lineRule="auto"/>
        <w:jc w:val="both"/>
        <w:rPr>
          <w:rFonts w:eastAsia="Times New Roman"/>
          <w:color w:val="000000"/>
        </w:rPr>
      </w:pPr>
      <w:r w:rsidRPr="0099786D">
        <w:rPr>
          <w:rFonts w:eastAsia="Times New Roman"/>
          <w:color w:val="000000"/>
        </w:rPr>
        <w:t xml:space="preserve">Dieses Ergebnis wurde durch die Langzeit-Feldstudie, durchgeführt im Rahmen des Öko-Innovationsprojektes INBIOSOIL (Agreement No. 282767), Akronym für Innovative Biologische Pflanzenschutzmittel zur Bekämpfung von Bodenschädlingen, schon vorweggenommen (Rauch et. al. 2017; Schweisgut 2018). Die Autoren konnten nachweisen, dass schon nach einer zweimaligen </w:t>
      </w:r>
      <w:r>
        <w:rPr>
          <w:rFonts w:eastAsia="Times New Roman"/>
          <w:color w:val="000000"/>
        </w:rPr>
        <w:t>Pilzgersteb</w:t>
      </w:r>
      <w:r w:rsidRPr="0099786D">
        <w:rPr>
          <w:rFonts w:eastAsia="Times New Roman"/>
          <w:color w:val="000000"/>
        </w:rPr>
        <w:t xml:space="preserve">ehandlung die höchste </w:t>
      </w:r>
      <w:r w:rsidRPr="0099786D">
        <w:rPr>
          <w:rFonts w:eastAsia="Times New Roman"/>
          <w:i/>
          <w:color w:val="000000"/>
        </w:rPr>
        <w:t>Metarhizium</w:t>
      </w:r>
      <w:r w:rsidRPr="0099786D">
        <w:rPr>
          <w:rFonts w:eastAsia="Times New Roman"/>
          <w:color w:val="000000"/>
        </w:rPr>
        <w:t>-Dichte im Boden erzielt werden konnte. In jenen Parzellen, welche mit GranMet</w:t>
      </w:r>
      <w:r w:rsidRPr="0099786D">
        <w:rPr>
          <w:rFonts w:eastAsia="Times New Roman"/>
          <w:color w:val="000000"/>
          <w:vertAlign w:val="superscript"/>
        </w:rPr>
        <w:t>TM</w:t>
      </w:r>
      <w:r w:rsidRPr="0099786D">
        <w:rPr>
          <w:rFonts w:eastAsia="Times New Roman"/>
          <w:color w:val="000000"/>
        </w:rPr>
        <w:t xml:space="preserve"> als Einzelwirkstoff behandelt wurden, konnte eine Erhöhung der </w:t>
      </w:r>
      <w:r w:rsidRPr="0099786D">
        <w:rPr>
          <w:rFonts w:eastAsia="Times New Roman"/>
          <w:i/>
          <w:color w:val="000000"/>
        </w:rPr>
        <w:t>Metarhizium</w:t>
      </w:r>
      <w:r w:rsidRPr="0099786D">
        <w:rPr>
          <w:rFonts w:eastAsia="Times New Roman"/>
          <w:color w:val="000000"/>
        </w:rPr>
        <w:t>-Dichte auf bis zu 32.962 KBE g</w:t>
      </w:r>
      <w:r w:rsidRPr="0099786D">
        <w:rPr>
          <w:rFonts w:eastAsia="Times New Roman"/>
          <w:color w:val="000000"/>
          <w:vertAlign w:val="superscript"/>
        </w:rPr>
        <w:t>-1</w:t>
      </w:r>
      <w:r w:rsidRPr="0099786D">
        <w:rPr>
          <w:rFonts w:eastAsia="Times New Roman"/>
          <w:color w:val="000000"/>
        </w:rPr>
        <w:t xml:space="preserve"> Boden TG nachgewiesen werden. Dieses Ergebnis entsprach einer 8-fachen Erhöhung der Pilzdichte von </w:t>
      </w:r>
      <w:r w:rsidRPr="0099786D">
        <w:rPr>
          <w:rFonts w:eastAsia="Times New Roman"/>
          <w:i/>
          <w:color w:val="000000"/>
        </w:rPr>
        <w:t xml:space="preserve">Metarhizium </w:t>
      </w:r>
      <w:r w:rsidRPr="0099786D">
        <w:rPr>
          <w:rFonts w:eastAsia="Times New Roman"/>
          <w:color w:val="000000"/>
        </w:rPr>
        <w:t>spp., im Vergleich zu den Pilzdichtewerten gemessen im Frühjahr desselben Versuchsjahres.</w:t>
      </w:r>
      <w:r w:rsidR="002A35C3">
        <w:rPr>
          <w:rFonts w:eastAsia="Times New Roman"/>
          <w:color w:val="000000"/>
        </w:rPr>
        <w:t xml:space="preserve"> </w:t>
      </w:r>
      <w:r w:rsidRPr="0099786D">
        <w:rPr>
          <w:rFonts w:eastAsia="Times New Roman"/>
          <w:color w:val="000000"/>
        </w:rPr>
        <w:t xml:space="preserve">Auch in Topfversuchen, welche im Rahmen der Masterarbeit von Pabst (2018) durchgeführt wurden, konnten die Wirkungsergebnisse für </w:t>
      </w:r>
      <w:r w:rsidRPr="0099786D">
        <w:rPr>
          <w:rFonts w:eastAsia="Times New Roman"/>
          <w:i/>
          <w:color w:val="000000"/>
        </w:rPr>
        <w:t>Metarhizium</w:t>
      </w:r>
      <w:r w:rsidRPr="0099786D">
        <w:rPr>
          <w:rFonts w:eastAsia="Times New Roman"/>
          <w:color w:val="000000"/>
        </w:rPr>
        <w:t xml:space="preserve"> bestätigt werden. Die </w:t>
      </w:r>
      <w:r w:rsidRPr="0099786D">
        <w:rPr>
          <w:rFonts w:eastAsia="Times New Roman"/>
          <w:i/>
          <w:color w:val="000000"/>
        </w:rPr>
        <w:t xml:space="preserve">Metarhizum </w:t>
      </w:r>
      <w:r w:rsidRPr="0099786D">
        <w:rPr>
          <w:rFonts w:eastAsia="Times New Roman"/>
          <w:color w:val="000000"/>
        </w:rPr>
        <w:t>Abundanz konnte in den GranMet</w:t>
      </w:r>
      <w:r w:rsidRPr="0099786D">
        <w:rPr>
          <w:rFonts w:eastAsia="Times New Roman"/>
          <w:color w:val="000000"/>
          <w:vertAlign w:val="superscript"/>
        </w:rPr>
        <w:t>TM</w:t>
      </w:r>
      <w:r w:rsidRPr="0099786D">
        <w:rPr>
          <w:rFonts w:eastAsia="Times New Roman"/>
          <w:color w:val="000000"/>
        </w:rPr>
        <w:t xml:space="preserve"> behandelten Töpfen innerhalb von neun Wochen um das zwanzigfache gesteigert werden (von 3.044 KBE g</w:t>
      </w:r>
      <w:r w:rsidRPr="0099786D">
        <w:rPr>
          <w:rFonts w:eastAsia="Times New Roman"/>
          <w:color w:val="000000"/>
          <w:vertAlign w:val="superscript"/>
        </w:rPr>
        <w:t>-1</w:t>
      </w:r>
      <w:r w:rsidRPr="0099786D">
        <w:rPr>
          <w:rFonts w:eastAsia="Times New Roman"/>
          <w:color w:val="000000"/>
        </w:rPr>
        <w:t xml:space="preserve"> Boden TG auf 73.213 KBE g</w:t>
      </w:r>
      <w:r w:rsidRPr="0099786D">
        <w:rPr>
          <w:rFonts w:eastAsia="Times New Roman"/>
          <w:color w:val="000000"/>
          <w:vertAlign w:val="superscript"/>
        </w:rPr>
        <w:t>-1</w:t>
      </w:r>
      <w:r w:rsidRPr="0099786D">
        <w:rPr>
          <w:rFonts w:eastAsia="Times New Roman"/>
          <w:color w:val="000000"/>
        </w:rPr>
        <w:t xml:space="preserve"> Boden TG). </w:t>
      </w:r>
      <w:r w:rsidR="003559BB" w:rsidRPr="0099786D">
        <w:rPr>
          <w:rFonts w:eastAsia="Times New Roman"/>
          <w:color w:val="000000"/>
        </w:rPr>
        <w:t xml:space="preserve">Es konnten auch in den mit </w:t>
      </w:r>
      <w:r w:rsidR="003559BB" w:rsidRPr="000E7FDF">
        <w:rPr>
          <w:rFonts w:eastAsia="Times New Roman"/>
          <w:color w:val="000000"/>
        </w:rPr>
        <w:t>GranMet</w:t>
      </w:r>
      <w:r w:rsidR="003559BB" w:rsidRPr="000E7FDF">
        <w:rPr>
          <w:rFonts w:eastAsia="Times New Roman"/>
          <w:color w:val="000000"/>
          <w:vertAlign w:val="superscript"/>
        </w:rPr>
        <w:t xml:space="preserve">TM </w:t>
      </w:r>
      <w:r w:rsidR="003559BB" w:rsidRPr="000E7FDF">
        <w:rPr>
          <w:rFonts w:eastAsia="Times New Roman"/>
          <w:color w:val="000000"/>
        </w:rPr>
        <w:t xml:space="preserve">behandelten Töpfen vereinzelt mit </w:t>
      </w:r>
      <w:r w:rsidR="003559BB" w:rsidRPr="000E7FDF">
        <w:rPr>
          <w:rFonts w:eastAsia="Times New Roman"/>
          <w:i/>
          <w:color w:val="000000"/>
        </w:rPr>
        <w:t>M.</w:t>
      </w:r>
      <w:r w:rsidR="003559BB" w:rsidRPr="000E7FDF">
        <w:rPr>
          <w:rFonts w:eastAsia="Times New Roman"/>
          <w:color w:val="000000"/>
        </w:rPr>
        <w:t xml:space="preserve"> </w:t>
      </w:r>
      <w:r w:rsidR="003559BB" w:rsidRPr="000E7FDF">
        <w:rPr>
          <w:rFonts w:eastAsia="Times New Roman"/>
          <w:i/>
          <w:color w:val="000000"/>
        </w:rPr>
        <w:t xml:space="preserve">brunneum </w:t>
      </w:r>
      <w:r w:rsidR="003559BB" w:rsidRPr="000E7FDF">
        <w:rPr>
          <w:rFonts w:eastAsia="Times New Roman"/>
          <w:color w:val="000000"/>
        </w:rPr>
        <w:t xml:space="preserve">verpilzte </w:t>
      </w:r>
      <w:r w:rsidR="003559BB" w:rsidRPr="000E7FDF">
        <w:rPr>
          <w:rFonts w:eastAsia="Times New Roman"/>
          <w:i/>
          <w:color w:val="000000"/>
        </w:rPr>
        <w:t>Diabrotica</w:t>
      </w:r>
      <w:r w:rsidR="003559BB" w:rsidRPr="000E7FDF">
        <w:rPr>
          <w:rFonts w:eastAsia="Times New Roman"/>
          <w:color w:val="000000"/>
        </w:rPr>
        <w:t>-Larven nachgewiesen werden (Abbildung 83).</w:t>
      </w:r>
    </w:p>
    <w:p w:rsidR="00B75D21" w:rsidRPr="0099786D" w:rsidRDefault="00B75D21" w:rsidP="002A35C3">
      <w:pPr>
        <w:spacing w:before="270" w:line="276" w:lineRule="auto"/>
        <w:jc w:val="both"/>
        <w:rPr>
          <w:rFonts w:eastAsia="Times New Roman"/>
          <w:color w:val="000000"/>
        </w:rPr>
      </w:pPr>
      <w:r w:rsidRPr="000E7FDF">
        <w:rPr>
          <w:rFonts w:eastAsia="Times New Roman"/>
          <w:color w:val="000000"/>
        </w:rPr>
        <w:t>Die geringste Schlupfrate konnte in der</w:t>
      </w:r>
      <w:r w:rsidRPr="0099786D">
        <w:rPr>
          <w:rFonts w:eastAsia="Times New Roman"/>
          <w:color w:val="000000"/>
        </w:rPr>
        <w:t xml:space="preserve"> Wirkstoffkombination „dianem</w:t>
      </w:r>
      <w:r w:rsidRPr="0099786D">
        <w:rPr>
          <w:rFonts w:eastAsia="Times New Roman"/>
          <w:color w:val="000000"/>
          <w:vertAlign w:val="superscript"/>
        </w:rPr>
        <w:t>TM</w:t>
      </w:r>
      <w:r w:rsidRPr="0099786D">
        <w:rPr>
          <w:rFonts w:eastAsia="Times New Roman"/>
          <w:color w:val="000000"/>
        </w:rPr>
        <w:t xml:space="preserve"> und GranMet</w:t>
      </w:r>
      <w:r w:rsidRPr="0099786D">
        <w:rPr>
          <w:rFonts w:eastAsia="Times New Roman"/>
          <w:color w:val="000000"/>
          <w:vertAlign w:val="superscript"/>
        </w:rPr>
        <w:t>TM</w:t>
      </w:r>
      <w:r w:rsidRPr="0099786D">
        <w:rPr>
          <w:rFonts w:eastAsia="Times New Roman"/>
          <w:color w:val="000000"/>
        </w:rPr>
        <w:t xml:space="preserve">“ erzielt werden (1,7 Käfer pro Pflanze und Topf im Vergleich zu 7,8 Käfer pro unbehandelter Topfkultur). </w:t>
      </w:r>
    </w:p>
    <w:p w:rsidR="00B75D21" w:rsidRDefault="00B75D21" w:rsidP="00B75D21">
      <w:pPr>
        <w:jc w:val="both"/>
        <w:rPr>
          <w:rFonts w:ascii="Arial" w:eastAsia="Times New Roman" w:hAnsi="Arial" w:cs="Arial"/>
          <w:b/>
          <w:bCs/>
          <w:kern w:val="32"/>
          <w:sz w:val="24"/>
          <w:szCs w:val="24"/>
          <w:lang w:val="de-DE" w:eastAsia="it-IT"/>
        </w:rPr>
      </w:pPr>
      <w:r w:rsidRPr="0099786D">
        <w:rPr>
          <w:rFonts w:ascii="Arial" w:eastAsia="Times New Roman" w:hAnsi="Arial" w:cs="Arial"/>
          <w:b/>
          <w:bCs/>
          <w:noProof/>
          <w:kern w:val="32"/>
          <w:sz w:val="24"/>
          <w:szCs w:val="24"/>
          <w:lang w:eastAsia="de-AT"/>
        </w:rPr>
        <w:drawing>
          <wp:inline distT="0" distB="0" distL="0" distR="0" wp14:anchorId="6268FBDF" wp14:editId="70937F63">
            <wp:extent cx="5438775" cy="4155261"/>
            <wp:effectExtent l="0" t="0" r="0" b="0"/>
            <wp:docPr id="9251" name="Grafik 9251" descr="Kombi_Versuch_Abundanz_Bipesco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ombi_Versuch_Abundanz_Bipesco5"/>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5438775" cy="4155261"/>
                    </a:xfrm>
                    <a:prstGeom prst="rect">
                      <a:avLst/>
                    </a:prstGeom>
                    <a:noFill/>
                    <a:ln>
                      <a:noFill/>
                    </a:ln>
                  </pic:spPr>
                </pic:pic>
              </a:graphicData>
            </a:graphic>
          </wp:inline>
        </w:drawing>
      </w:r>
    </w:p>
    <w:p w:rsidR="003559BB" w:rsidRPr="0099786D" w:rsidRDefault="003559BB" w:rsidP="00B75D21">
      <w:pPr>
        <w:jc w:val="both"/>
        <w:rPr>
          <w:rFonts w:ascii="Arial" w:eastAsia="Times New Roman" w:hAnsi="Arial" w:cs="Arial"/>
          <w:b/>
          <w:bCs/>
          <w:kern w:val="32"/>
          <w:sz w:val="24"/>
          <w:szCs w:val="24"/>
          <w:lang w:val="de-DE" w:eastAsia="it-IT"/>
        </w:rPr>
      </w:pPr>
    </w:p>
    <w:p w:rsidR="00B75D21" w:rsidRPr="0099786D" w:rsidRDefault="00B75D21" w:rsidP="00B75D21">
      <w:pPr>
        <w:jc w:val="both"/>
        <w:rPr>
          <w:rFonts w:ascii="Arial" w:eastAsia="Times New Roman" w:hAnsi="Arial" w:cs="Arial"/>
          <w:b/>
          <w:bCs/>
          <w:kern w:val="32"/>
          <w:sz w:val="24"/>
          <w:szCs w:val="24"/>
          <w:lang w:val="de-DE" w:eastAsia="it-IT"/>
        </w:rPr>
      </w:pPr>
    </w:p>
    <w:p w:rsidR="00B75D21" w:rsidRPr="0099786D" w:rsidRDefault="00B75D21" w:rsidP="003559BB">
      <w:pPr>
        <w:pStyle w:val="Beschriftung"/>
        <w:jc w:val="both"/>
      </w:pPr>
      <w:bookmarkStart w:id="358" w:name="_Toc532311582"/>
      <w:bookmarkStart w:id="359" w:name="_Toc7715470"/>
      <w:r>
        <w:t xml:space="preserve">Abbildung </w:t>
      </w:r>
      <w:fldSimple w:instr=" SEQ Abbildung \* ARABIC ">
        <w:r w:rsidR="002A35C3">
          <w:rPr>
            <w:noProof/>
          </w:rPr>
          <w:t>82</w:t>
        </w:r>
      </w:fldSimple>
      <w:r>
        <w:t>:</w:t>
      </w:r>
      <w:r w:rsidRPr="0099786D">
        <w:t xml:space="preserve"> Metarhizium Abundanz vor und nach der Applikation der biologischen Wirkstoffe auf den Versuchsflächen Siloacker, Gomboc und Langacker in Dedenitz (Steiermark): Metarhizium = GranMet</w:t>
      </w:r>
      <w:r w:rsidRPr="0099786D">
        <w:rPr>
          <w:vertAlign w:val="superscript"/>
        </w:rPr>
        <w:t>TM</w:t>
      </w:r>
      <w:r w:rsidRPr="0099786D">
        <w:t xml:space="preserve"> Pilzgerste (50 kg/ha) + NICHT gebeiztes Saatgut; Bakterien + Metarhizium = Stenotrophomonas gebeiztes Saatgut in Kombination GranMet</w:t>
      </w:r>
      <w:r w:rsidRPr="0099786D">
        <w:rPr>
          <w:vertAlign w:val="superscript"/>
        </w:rPr>
        <w:t>TM</w:t>
      </w:r>
      <w:r w:rsidRPr="0099786D">
        <w:t>; Nematoden + Metarhizium = dianem</w:t>
      </w:r>
      <w:r w:rsidRPr="0099786D">
        <w:rPr>
          <w:vertAlign w:val="superscript"/>
        </w:rPr>
        <w:t>TM</w:t>
      </w:r>
      <w:r w:rsidRPr="0099786D">
        <w:t xml:space="preserve"> und GranMet</w:t>
      </w:r>
      <w:r w:rsidRPr="0099786D">
        <w:rPr>
          <w:vertAlign w:val="superscript"/>
        </w:rPr>
        <w:t>TM</w:t>
      </w:r>
      <w:r w:rsidRPr="0099786D">
        <w:t>; Kontrolle = unbehandelte Parzellen (n=6). Der Pfleil symbolisiert die Wirkstoffapplikation am 13.April 2018.</w:t>
      </w:r>
      <w:bookmarkEnd w:id="358"/>
      <w:bookmarkEnd w:id="359"/>
    </w:p>
    <w:tbl>
      <w:tblPr>
        <w:tblW w:w="0" w:type="auto"/>
        <w:jc w:val="right"/>
        <w:tblBorders>
          <w:insideH w:val="single" w:sz="2" w:space="0" w:color="auto"/>
          <w:insideV w:val="single" w:sz="2" w:space="0" w:color="auto"/>
        </w:tblBorders>
        <w:tblLook w:val="04A0" w:firstRow="1" w:lastRow="0" w:firstColumn="1" w:lastColumn="0" w:noHBand="0" w:noVBand="1"/>
      </w:tblPr>
      <w:tblGrid>
        <w:gridCol w:w="2977"/>
        <w:gridCol w:w="5275"/>
      </w:tblGrid>
      <w:tr w:rsidR="00B75D21" w:rsidRPr="0099786D" w:rsidTr="00B75D21">
        <w:trPr>
          <w:jc w:val="right"/>
        </w:trPr>
        <w:tc>
          <w:tcPr>
            <w:tcW w:w="2977" w:type="dxa"/>
            <w:shd w:val="clear" w:color="auto" w:fill="auto"/>
            <w:vAlign w:val="center"/>
          </w:tcPr>
          <w:p w:rsidR="00B75D21" w:rsidRPr="0099786D" w:rsidRDefault="00B75D21" w:rsidP="00B75D21">
            <w:pPr>
              <w:rPr>
                <w:rFonts w:eastAsia="Times New Roman"/>
                <w:b/>
                <w:color w:val="2869A1"/>
                <w:lang w:val="de-DE" w:eastAsia="it-IT"/>
              </w:rPr>
            </w:pPr>
            <w:r w:rsidRPr="0099786D">
              <w:rPr>
                <w:rFonts w:eastAsia="Times New Roman"/>
                <w:b/>
                <w:i/>
                <w:color w:val="2869A1"/>
                <w:lang w:val="de-DE" w:eastAsia="it-IT"/>
              </w:rPr>
              <w:t>Metarhizium brunneum</w:t>
            </w:r>
            <w:r w:rsidRPr="0099786D">
              <w:rPr>
                <w:rFonts w:eastAsia="Times New Roman"/>
                <w:b/>
                <w:color w:val="2869A1"/>
                <w:lang w:val="de-DE" w:eastAsia="it-IT"/>
              </w:rPr>
              <w:t xml:space="preserve"> verpilzte </w:t>
            </w:r>
            <w:r w:rsidRPr="0099786D">
              <w:rPr>
                <w:rFonts w:eastAsia="Times New Roman"/>
                <w:b/>
                <w:i/>
                <w:color w:val="2869A1"/>
                <w:lang w:val="de-DE" w:eastAsia="it-IT"/>
              </w:rPr>
              <w:t xml:space="preserve">Diabrotica </w:t>
            </w:r>
            <w:r w:rsidRPr="0099786D">
              <w:rPr>
                <w:rFonts w:eastAsia="Times New Roman"/>
                <w:b/>
                <w:color w:val="2869A1"/>
                <w:lang w:val="de-DE" w:eastAsia="it-IT"/>
              </w:rPr>
              <w:t>Larve (L3). Weißes Myzel kurz vor der Sporulation</w:t>
            </w:r>
          </w:p>
        </w:tc>
        <w:tc>
          <w:tcPr>
            <w:tcW w:w="5275" w:type="dxa"/>
            <w:shd w:val="clear" w:color="auto" w:fill="auto"/>
            <w:vAlign w:val="center"/>
          </w:tcPr>
          <w:p w:rsidR="00B75D21" w:rsidRPr="0099786D" w:rsidRDefault="00B75D21" w:rsidP="00B75D21">
            <w:pPr>
              <w:jc w:val="both"/>
              <w:rPr>
                <w:rFonts w:ascii="Arial" w:eastAsia="Times New Roman" w:hAnsi="Arial" w:cs="Arial"/>
                <w:b/>
                <w:bCs/>
                <w:color w:val="2869A1"/>
                <w:kern w:val="32"/>
                <w:szCs w:val="24"/>
                <w:lang w:val="de-DE" w:eastAsia="it-IT"/>
              </w:rPr>
            </w:pPr>
            <w:r w:rsidRPr="0099786D">
              <w:rPr>
                <w:rFonts w:ascii="Arial" w:eastAsia="Times New Roman" w:hAnsi="Arial" w:cs="Arial"/>
                <w:b/>
                <w:bCs/>
                <w:noProof/>
                <w:color w:val="2869A1"/>
                <w:kern w:val="32"/>
                <w:szCs w:val="24"/>
                <w:lang w:eastAsia="de-AT"/>
              </w:rPr>
              <w:drawing>
                <wp:inline distT="0" distB="0" distL="0" distR="0" wp14:anchorId="658AEFF3" wp14:editId="1E242834">
                  <wp:extent cx="1870710" cy="1736090"/>
                  <wp:effectExtent l="0" t="0" r="0" b="0"/>
                  <wp:docPr id="9252" name="Grafik 9252" title="Mit Metarhizium brunneum verpilzte La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1870710" cy="1736090"/>
                          </a:xfrm>
                          <a:prstGeom prst="rect">
                            <a:avLst/>
                          </a:prstGeom>
                          <a:noFill/>
                        </pic:spPr>
                      </pic:pic>
                    </a:graphicData>
                  </a:graphic>
                </wp:inline>
              </w:drawing>
            </w:r>
          </w:p>
        </w:tc>
      </w:tr>
      <w:tr w:rsidR="00B75D21" w:rsidRPr="0099786D" w:rsidTr="00B75D21">
        <w:trPr>
          <w:jc w:val="right"/>
        </w:trPr>
        <w:tc>
          <w:tcPr>
            <w:tcW w:w="2977" w:type="dxa"/>
            <w:shd w:val="clear" w:color="auto" w:fill="auto"/>
            <w:vAlign w:val="center"/>
          </w:tcPr>
          <w:p w:rsidR="00B75D21" w:rsidRPr="0099786D" w:rsidRDefault="00B75D21" w:rsidP="00B75D21">
            <w:pPr>
              <w:rPr>
                <w:rFonts w:eastAsia="Times New Roman"/>
                <w:b/>
                <w:color w:val="2869A1"/>
                <w:lang w:val="de-DE" w:eastAsia="it-IT"/>
              </w:rPr>
            </w:pPr>
            <w:r w:rsidRPr="0099786D">
              <w:rPr>
                <w:rFonts w:eastAsia="Times New Roman"/>
                <w:b/>
                <w:i/>
                <w:color w:val="2869A1"/>
                <w:lang w:val="de-DE" w:eastAsia="it-IT"/>
              </w:rPr>
              <w:t>Metarhizium brunneum</w:t>
            </w:r>
            <w:r w:rsidRPr="0099786D">
              <w:rPr>
                <w:rFonts w:eastAsia="Times New Roman"/>
                <w:b/>
                <w:color w:val="2869A1"/>
                <w:lang w:val="de-DE" w:eastAsia="it-IT"/>
              </w:rPr>
              <w:t xml:space="preserve"> verpilzte </w:t>
            </w:r>
            <w:r w:rsidRPr="0099786D">
              <w:rPr>
                <w:rFonts w:eastAsia="Times New Roman"/>
                <w:b/>
                <w:i/>
                <w:color w:val="2869A1"/>
                <w:lang w:val="de-DE" w:eastAsia="it-IT"/>
              </w:rPr>
              <w:t>Diabrotica</w:t>
            </w:r>
            <w:r w:rsidRPr="0099786D">
              <w:rPr>
                <w:rFonts w:eastAsia="Times New Roman"/>
                <w:b/>
                <w:color w:val="2869A1"/>
                <w:lang w:val="de-DE" w:eastAsia="it-IT"/>
              </w:rPr>
              <w:t xml:space="preserve"> Larve (L3), Phialiden mit typisch grün-pigmentierten Konidien überziehen das Myzel </w:t>
            </w:r>
          </w:p>
        </w:tc>
        <w:tc>
          <w:tcPr>
            <w:tcW w:w="5275" w:type="dxa"/>
            <w:shd w:val="clear" w:color="auto" w:fill="auto"/>
            <w:vAlign w:val="center"/>
          </w:tcPr>
          <w:p w:rsidR="003559BB" w:rsidRPr="0099786D" w:rsidRDefault="00B75D21" w:rsidP="00B75D21">
            <w:pPr>
              <w:jc w:val="both"/>
              <w:rPr>
                <w:rFonts w:ascii="Arial" w:eastAsia="Times New Roman" w:hAnsi="Arial" w:cs="Arial"/>
                <w:b/>
                <w:bCs/>
                <w:kern w:val="32"/>
                <w:szCs w:val="24"/>
                <w:lang w:val="de-DE" w:eastAsia="it-IT"/>
              </w:rPr>
            </w:pPr>
            <w:r w:rsidRPr="0099786D">
              <w:rPr>
                <w:rFonts w:ascii="Arial" w:eastAsia="Times New Roman" w:hAnsi="Arial" w:cs="Arial"/>
                <w:b/>
                <w:noProof/>
                <w:kern w:val="32"/>
                <w:szCs w:val="24"/>
                <w:lang w:eastAsia="de-AT"/>
              </w:rPr>
              <w:drawing>
                <wp:inline distT="0" distB="0" distL="0" distR="0" wp14:anchorId="6C270E15" wp14:editId="31542880">
                  <wp:extent cx="1876425" cy="1390650"/>
                  <wp:effectExtent l="0" t="0" r="9525" b="0"/>
                  <wp:docPr id="9253" name="Grafik 9253" title="Metarhiz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1876425" cy="1390650"/>
                          </a:xfrm>
                          <a:prstGeom prst="rect">
                            <a:avLst/>
                          </a:prstGeom>
                          <a:noFill/>
                          <a:ln>
                            <a:noFill/>
                          </a:ln>
                        </pic:spPr>
                      </pic:pic>
                    </a:graphicData>
                  </a:graphic>
                </wp:inline>
              </w:drawing>
            </w:r>
          </w:p>
        </w:tc>
      </w:tr>
    </w:tbl>
    <w:p w:rsidR="00B75D21" w:rsidRDefault="00B75D21" w:rsidP="00B75D21">
      <w:pPr>
        <w:pStyle w:val="Beschriftung"/>
      </w:pPr>
      <w:bookmarkStart w:id="360" w:name="_Toc532311583"/>
      <w:bookmarkStart w:id="361" w:name="_Toc7715471"/>
      <w:r>
        <w:t xml:space="preserve">Abbildung </w:t>
      </w:r>
      <w:fldSimple w:instr=" SEQ Abbildung \* ARABIC ">
        <w:r w:rsidR="003559BB">
          <w:rPr>
            <w:noProof/>
          </w:rPr>
          <w:t>83</w:t>
        </w:r>
      </w:fldSimple>
      <w:r>
        <w:t>:</w:t>
      </w:r>
      <w:r w:rsidRPr="0099786D">
        <w:t xml:space="preserve"> Metarhizium brunneum verpilzte Diabrotica-Larve (L3), nach Behandlung mit GranMet</w:t>
      </w:r>
      <w:r w:rsidRPr="0099786D">
        <w:rPr>
          <w:vertAlign w:val="superscript"/>
        </w:rPr>
        <w:t>TM</w:t>
      </w:r>
      <w:r w:rsidRPr="0099786D">
        <w:t>.</w:t>
      </w:r>
      <w:bookmarkEnd w:id="360"/>
      <w:bookmarkEnd w:id="361"/>
    </w:p>
    <w:p w:rsidR="003559BB" w:rsidRPr="003559BB" w:rsidRDefault="003559BB" w:rsidP="003559BB">
      <w:pPr>
        <w:pStyle w:val="Flietext"/>
      </w:pPr>
    </w:p>
    <w:p w:rsidR="00B75D21" w:rsidRPr="0099786D" w:rsidRDefault="00B75D21" w:rsidP="003559BB">
      <w:pPr>
        <w:spacing w:before="270" w:line="276" w:lineRule="auto"/>
        <w:jc w:val="both"/>
        <w:rPr>
          <w:rFonts w:eastAsia="Times New Roman"/>
          <w:color w:val="000000"/>
        </w:rPr>
      </w:pPr>
      <w:r>
        <w:rPr>
          <w:rFonts w:eastAsia="Times New Roman"/>
          <w:color w:val="000000"/>
        </w:rPr>
        <w:t>M</w:t>
      </w:r>
      <w:r w:rsidRPr="0099786D">
        <w:rPr>
          <w:rFonts w:eastAsia="Times New Roman"/>
          <w:color w:val="000000"/>
        </w:rPr>
        <w:t xml:space="preserve">ittels Genotypisierung der </w:t>
      </w:r>
      <w:r w:rsidRPr="0099786D">
        <w:rPr>
          <w:rFonts w:eastAsia="Times New Roman"/>
          <w:i/>
          <w:color w:val="000000"/>
        </w:rPr>
        <w:t>Metarhizium</w:t>
      </w:r>
      <w:r w:rsidRPr="0099786D">
        <w:rPr>
          <w:rFonts w:eastAsia="Times New Roman"/>
          <w:color w:val="000000"/>
        </w:rPr>
        <w:t>-Rückisolate soll nun auch gezeigt werden, dass der Produktionstamm BIPESCO 5 in den Behandlungsflächen als der dominierende Antagonist nachgewiesen werden kann. Diese Untersuchungen werden zurzeit in der Schweiz von Alexandra Gruber (Master Studentin am Institut für Mikrobiologie, Leopold-Franzens Universität Innsbruck) durchgeführt.</w:t>
      </w:r>
    </w:p>
    <w:p w:rsidR="00B75D21" w:rsidRPr="0099786D" w:rsidRDefault="00B75D21" w:rsidP="003559BB">
      <w:pPr>
        <w:spacing w:before="270" w:line="276" w:lineRule="auto"/>
        <w:jc w:val="both"/>
        <w:rPr>
          <w:rFonts w:ascii="Arial" w:eastAsia="Times New Roman" w:hAnsi="Arial" w:cs="Arial"/>
          <w:b/>
          <w:color w:val="000000"/>
          <w:kern w:val="32"/>
          <w:lang w:eastAsia="it-IT"/>
        </w:rPr>
      </w:pPr>
      <w:r w:rsidRPr="0099786D">
        <w:rPr>
          <w:rFonts w:eastAsia="Times New Roman"/>
          <w:color w:val="000000"/>
        </w:rPr>
        <w:t xml:space="preserve">Die Genotypisierung des Probenmaterials von den Dauerbeobachtungsflächen in Tirol und Steiermark haben ergeben, dass von den 192 stichprobenartig isolierten </w:t>
      </w:r>
      <w:r w:rsidRPr="0099786D">
        <w:rPr>
          <w:rFonts w:eastAsia="Times New Roman"/>
          <w:i/>
          <w:color w:val="000000"/>
        </w:rPr>
        <w:t>Metarhizium</w:t>
      </w:r>
      <w:r w:rsidRPr="0099786D">
        <w:rPr>
          <w:rFonts w:eastAsia="Times New Roman"/>
          <w:color w:val="000000"/>
        </w:rPr>
        <w:t xml:space="preserve">-Isolaten (Probennahmezeitpunkt 2016 und 2017) 34 % aller Isolate (72 Isolate) eindeutig </w:t>
      </w:r>
      <w:r w:rsidRPr="003332FD">
        <w:rPr>
          <w:rFonts w:eastAsia="Times New Roman"/>
          <w:color w:val="000000"/>
        </w:rPr>
        <w:t>als Produktionsstamm BIPESCO 5 identifiziert werden konnte. Die Flächen wurden zuvor ein bis mehrmals mit GranMet</w:t>
      </w:r>
      <w:r w:rsidRPr="003332FD">
        <w:rPr>
          <w:rFonts w:eastAsia="Times New Roman"/>
          <w:color w:val="000000"/>
          <w:vertAlign w:val="superscript"/>
        </w:rPr>
        <w:t>TM</w:t>
      </w:r>
      <w:r w:rsidRPr="003332FD">
        <w:rPr>
          <w:rFonts w:eastAsia="Times New Roman"/>
          <w:color w:val="000000"/>
          <w:vertAlign w:val="subscript"/>
        </w:rPr>
        <w:t xml:space="preserve"> </w:t>
      </w:r>
      <w:r w:rsidRPr="003332FD">
        <w:rPr>
          <w:rFonts w:eastAsia="Times New Roman"/>
          <w:color w:val="000000"/>
        </w:rPr>
        <w:t xml:space="preserve">behandelt (siehe auch Kapitel </w:t>
      </w:r>
      <w:r w:rsidR="003332FD" w:rsidRPr="003332FD">
        <w:rPr>
          <w:rFonts w:eastAsia="Times New Roman"/>
          <w:color w:val="000000"/>
        </w:rPr>
        <w:t>2</w:t>
      </w:r>
      <w:r w:rsidRPr="003332FD">
        <w:rPr>
          <w:rFonts w:eastAsia="Times New Roman"/>
          <w:color w:val="000000"/>
        </w:rPr>
        <w:t>.</w:t>
      </w:r>
      <w:r w:rsidR="003332FD" w:rsidRPr="003332FD">
        <w:rPr>
          <w:rFonts w:eastAsia="Times New Roman"/>
          <w:color w:val="000000"/>
        </w:rPr>
        <w:t>8 und 2.10</w:t>
      </w:r>
      <w:r w:rsidRPr="003332FD">
        <w:rPr>
          <w:rFonts w:eastAsia="Times New Roman"/>
          <w:color w:val="000000"/>
        </w:rPr>
        <w:t xml:space="preserve">; Genotypisierung der </w:t>
      </w:r>
      <w:r w:rsidRPr="003332FD">
        <w:rPr>
          <w:rFonts w:eastAsia="Times New Roman"/>
          <w:i/>
          <w:color w:val="000000"/>
        </w:rPr>
        <w:t>Metarhizium</w:t>
      </w:r>
      <w:r w:rsidRPr="003332FD">
        <w:rPr>
          <w:rFonts w:eastAsia="Times New Roman"/>
          <w:color w:val="000000"/>
        </w:rPr>
        <w:t xml:space="preserve"> Rückisolate). Im</w:t>
      </w:r>
      <w:r w:rsidRPr="0099786D">
        <w:rPr>
          <w:rFonts w:eastAsia="Times New Roman"/>
          <w:color w:val="000000"/>
        </w:rPr>
        <w:t xml:space="preserve"> Topfversuch von Pabst (2018) konnten nahezu alle </w:t>
      </w:r>
      <w:r w:rsidRPr="0099786D">
        <w:rPr>
          <w:rFonts w:eastAsia="Times New Roman"/>
          <w:i/>
          <w:color w:val="000000"/>
        </w:rPr>
        <w:t>Metarhizium</w:t>
      </w:r>
      <w:r w:rsidRPr="0099786D">
        <w:rPr>
          <w:rFonts w:eastAsia="Times New Roman"/>
          <w:color w:val="000000"/>
        </w:rPr>
        <w:t>-Isolate als der Produktionsstamm von GranMet</w:t>
      </w:r>
      <w:r w:rsidRPr="0099786D">
        <w:rPr>
          <w:rFonts w:eastAsia="Times New Roman"/>
          <w:color w:val="000000"/>
          <w:vertAlign w:val="superscript"/>
        </w:rPr>
        <w:t>TM</w:t>
      </w:r>
      <w:r w:rsidRPr="0099786D">
        <w:rPr>
          <w:rFonts w:eastAsia="Times New Roman"/>
          <w:color w:val="000000"/>
        </w:rPr>
        <w:t xml:space="preserve"> genotypisiert werden.</w:t>
      </w:r>
    </w:p>
    <w:p w:rsidR="00B75D21" w:rsidRPr="0099786D" w:rsidRDefault="00B75D21" w:rsidP="00B75D21">
      <w:pPr>
        <w:pStyle w:val="11Unterkapitel"/>
      </w:pPr>
      <w:bookmarkStart w:id="362" w:name="_Toc532311629"/>
      <w:bookmarkStart w:id="363" w:name="_Toc7715634"/>
      <w:r w:rsidRPr="0099786D">
        <w:t>Qualitätssicherung von GranMet</w:t>
      </w:r>
      <w:r w:rsidRPr="0099786D">
        <w:rPr>
          <w:vertAlign w:val="superscript"/>
        </w:rPr>
        <w:t>TM</w:t>
      </w:r>
      <w:bookmarkEnd w:id="362"/>
      <w:bookmarkEnd w:id="363"/>
    </w:p>
    <w:p w:rsidR="00B75D21" w:rsidRPr="0099786D" w:rsidRDefault="00B75D21" w:rsidP="003559BB">
      <w:pPr>
        <w:spacing w:before="270" w:line="270" w:lineRule="exact"/>
        <w:jc w:val="both"/>
        <w:rPr>
          <w:rFonts w:eastAsia="Times New Roman"/>
          <w:color w:val="000000"/>
        </w:rPr>
      </w:pPr>
      <w:r w:rsidRPr="0099786D">
        <w:rPr>
          <w:rFonts w:eastAsia="Times New Roman"/>
          <w:color w:val="000000"/>
        </w:rPr>
        <w:t>Unter Anwendung der BIPESCO Qualitätssicherungsstandard-Protokolle wurde die Wirksamkeit des Pilzwirkstoffes</w:t>
      </w:r>
      <w:r w:rsidRPr="0099786D">
        <w:rPr>
          <w:rFonts w:eastAsia="Times New Roman"/>
          <w:bCs/>
          <w:color w:val="000000"/>
        </w:rPr>
        <w:t xml:space="preserve"> </w:t>
      </w:r>
      <w:r w:rsidRPr="0099786D">
        <w:rPr>
          <w:rFonts w:eastAsia="Times New Roman"/>
          <w:color w:val="000000"/>
        </w:rPr>
        <w:t>GranMet</w:t>
      </w:r>
      <w:r w:rsidRPr="0099786D">
        <w:rPr>
          <w:rFonts w:eastAsia="Times New Roman"/>
          <w:color w:val="000000"/>
          <w:vertAlign w:val="superscript"/>
        </w:rPr>
        <w:t>TM</w:t>
      </w:r>
      <w:r w:rsidRPr="0099786D">
        <w:rPr>
          <w:rFonts w:eastAsia="Times New Roman"/>
          <w:color w:val="000000"/>
        </w:rPr>
        <w:t xml:space="preserve"> regelmäßig überprüft und bestätigt (siehe auch DIACONT 1. Zwischenbericht, Kapitel 3.3.5). Der Produktionsstamm BIPESCO 5 wurde stets standardgemäß, in ausreichender Sporendichte, kontaminationsfrei auf dem organischen Trägerstoff sterile Gerste produziert.</w:t>
      </w:r>
    </w:p>
    <w:p w:rsidR="00B75D21" w:rsidRPr="0099786D" w:rsidRDefault="00B75D21" w:rsidP="00B75D21">
      <w:pPr>
        <w:pStyle w:val="11Unterkapitel"/>
      </w:pPr>
      <w:bookmarkStart w:id="364" w:name="_Toc532311630"/>
      <w:bookmarkStart w:id="365" w:name="_Toc7715635"/>
      <w:r>
        <w:t>A</w:t>
      </w:r>
      <w:r w:rsidRPr="0099786D">
        <w:t>nmerkung zur Auswahl des Versuchsstandortes Gomboc</w:t>
      </w:r>
      <w:bookmarkEnd w:id="364"/>
      <w:bookmarkEnd w:id="365"/>
      <w:r w:rsidRPr="0099786D">
        <w:t xml:space="preserve"> </w:t>
      </w:r>
    </w:p>
    <w:p w:rsidR="00B75D21" w:rsidRPr="0099786D" w:rsidRDefault="00B75D21" w:rsidP="00D7203E">
      <w:pPr>
        <w:spacing w:before="270" w:line="270" w:lineRule="exact"/>
        <w:jc w:val="both"/>
        <w:rPr>
          <w:rFonts w:eastAsia="Times New Roman"/>
          <w:color w:val="000000"/>
        </w:rPr>
      </w:pPr>
      <w:r w:rsidRPr="0099786D">
        <w:rPr>
          <w:rFonts w:eastAsia="Times New Roman"/>
          <w:b/>
          <w:color w:val="000000"/>
        </w:rPr>
        <w:t>Ein Nachtrag:</w:t>
      </w:r>
      <w:r w:rsidRPr="0099786D">
        <w:rPr>
          <w:rFonts w:eastAsia="Times New Roman"/>
          <w:color w:val="000000"/>
        </w:rPr>
        <w:t xml:space="preserve"> Es soll hiermit klargestellt werden, dass bezüglich der Wirkstoff-Austestung im Rahmen der EU-INBIOSOIL Studie in der Pflanzsaison 2013, 2014 und 2015 (Rauch et al, 2017) und des Kombinationsversuches aus dem heurigen Jahr 2018, welche unmittelbar am gleichen Standort in Gomboc (Feld 2) durchgeführt wurde, keine negative Beeinflussung bezüglich der Wirkstoffbewertung 2018 bestanden hat und </w:t>
      </w:r>
      <w:r>
        <w:rPr>
          <w:rFonts w:eastAsia="Times New Roman"/>
          <w:color w:val="000000"/>
        </w:rPr>
        <w:t xml:space="preserve">nach wie vor </w:t>
      </w:r>
      <w:r w:rsidRPr="0099786D">
        <w:rPr>
          <w:rFonts w:eastAsia="Times New Roman"/>
          <w:color w:val="000000"/>
        </w:rPr>
        <w:t>besteht.</w:t>
      </w:r>
    </w:p>
    <w:p w:rsidR="00B75D21" w:rsidRDefault="00B75D21" w:rsidP="00D7203E">
      <w:pPr>
        <w:spacing w:before="270" w:line="276" w:lineRule="auto"/>
        <w:jc w:val="both"/>
        <w:rPr>
          <w:rFonts w:eastAsia="Times New Roman"/>
          <w:color w:val="000000"/>
        </w:rPr>
      </w:pPr>
      <w:r w:rsidRPr="0099786D">
        <w:rPr>
          <w:rFonts w:eastAsia="Times New Roman"/>
          <w:b/>
          <w:bCs/>
          <w:color w:val="000000"/>
        </w:rPr>
        <w:t>Begründung</w:t>
      </w:r>
      <w:r w:rsidRPr="0099786D">
        <w:rPr>
          <w:rFonts w:eastAsia="Times New Roman"/>
          <w:color w:val="000000"/>
        </w:rPr>
        <w:t>: Das Produkt dianem</w:t>
      </w:r>
      <w:r w:rsidRPr="0099786D">
        <w:rPr>
          <w:rFonts w:eastAsia="Times New Roman"/>
          <w:color w:val="000000"/>
          <w:vertAlign w:val="superscript"/>
        </w:rPr>
        <w:t>TM</w:t>
      </w:r>
      <w:r w:rsidRPr="0099786D">
        <w:rPr>
          <w:rFonts w:eastAsia="Times New Roman"/>
          <w:color w:val="000000"/>
        </w:rPr>
        <w:t>, sowie GranMet</w:t>
      </w:r>
      <w:r w:rsidRPr="0099786D">
        <w:rPr>
          <w:rFonts w:eastAsia="Times New Roman"/>
          <w:color w:val="000000"/>
          <w:vertAlign w:val="superscript"/>
        </w:rPr>
        <w:t>TM</w:t>
      </w:r>
      <w:r w:rsidRPr="0099786D">
        <w:rPr>
          <w:rFonts w:eastAsia="Times New Roman"/>
          <w:color w:val="000000"/>
        </w:rPr>
        <w:t xml:space="preserve"> </w:t>
      </w:r>
      <w:r>
        <w:rPr>
          <w:rFonts w:eastAsia="Times New Roman"/>
          <w:color w:val="000000"/>
        </w:rPr>
        <w:t>bzw.</w:t>
      </w:r>
      <w:r w:rsidRPr="0099786D">
        <w:rPr>
          <w:rFonts w:eastAsia="Times New Roman"/>
          <w:color w:val="000000"/>
        </w:rPr>
        <w:t xml:space="preserve"> GranMet</w:t>
      </w:r>
      <w:r w:rsidRPr="0099786D">
        <w:rPr>
          <w:rFonts w:eastAsia="Times New Roman"/>
          <w:color w:val="000000"/>
          <w:vertAlign w:val="superscript"/>
        </w:rPr>
        <w:t>TM</w:t>
      </w:r>
      <w:r w:rsidRPr="0099786D">
        <w:rPr>
          <w:rFonts w:eastAsia="Times New Roman"/>
          <w:color w:val="000000"/>
        </w:rPr>
        <w:t xml:space="preserve"> mit dianem</w:t>
      </w:r>
      <w:r w:rsidRPr="0099786D">
        <w:rPr>
          <w:rFonts w:eastAsia="Times New Roman"/>
          <w:color w:val="000000"/>
          <w:vertAlign w:val="superscript"/>
        </w:rPr>
        <w:t>TM</w:t>
      </w:r>
      <w:r w:rsidRPr="0099786D">
        <w:rPr>
          <w:rFonts w:eastAsia="Times New Roman"/>
          <w:color w:val="000000"/>
        </w:rPr>
        <w:t xml:space="preserve"> kombiniert, wurden südlich, und somit außerhalb von der DIACONT Versuchsfläche 2018 appliziert</w:t>
      </w:r>
      <w:r>
        <w:rPr>
          <w:rFonts w:eastAsia="Times New Roman"/>
          <w:color w:val="000000"/>
        </w:rPr>
        <w:t>.</w:t>
      </w:r>
      <w:r w:rsidRPr="0099786D">
        <w:rPr>
          <w:rFonts w:eastAsia="Times New Roman"/>
          <w:color w:val="000000"/>
        </w:rPr>
        <w:t xml:space="preserve"> In der DIACONT Versuchsfläche Reihe 3 und Reihe 4 wurde jedoch damals flächendeckend das Produkt GranMet</w:t>
      </w:r>
      <w:r w:rsidRPr="0099786D">
        <w:rPr>
          <w:rFonts w:eastAsia="Times New Roman"/>
          <w:color w:val="000000"/>
          <w:vertAlign w:val="superscript"/>
        </w:rPr>
        <w:t>TM</w:t>
      </w:r>
      <w:r w:rsidRPr="0099786D">
        <w:rPr>
          <w:rFonts w:eastAsia="Times New Roman"/>
          <w:color w:val="000000"/>
        </w:rPr>
        <w:t xml:space="preserve"> und dianem</w:t>
      </w:r>
      <w:r w:rsidRPr="0099786D">
        <w:rPr>
          <w:rFonts w:eastAsia="Times New Roman"/>
          <w:color w:val="000000"/>
          <w:vertAlign w:val="superscript"/>
        </w:rPr>
        <w:t>TM</w:t>
      </w:r>
      <w:r w:rsidRPr="0099786D">
        <w:rPr>
          <w:rFonts w:eastAsia="Times New Roman"/>
          <w:color w:val="000000"/>
        </w:rPr>
        <w:t xml:space="preserve">, stets mit Poncho gebeiztem Saatgut kombiniert, verwendet. Es wäre somit nicht ausgeschlossen, dass </w:t>
      </w:r>
      <w:r w:rsidRPr="0099786D">
        <w:rPr>
          <w:rFonts w:eastAsia="Times New Roman"/>
          <w:i/>
          <w:color w:val="000000"/>
        </w:rPr>
        <w:t>Metarhizum</w:t>
      </w:r>
      <w:r w:rsidRPr="0099786D">
        <w:rPr>
          <w:rFonts w:eastAsia="Times New Roman"/>
          <w:color w:val="000000"/>
        </w:rPr>
        <w:t xml:space="preserve"> bzw. </w:t>
      </w:r>
      <w:r w:rsidRPr="0099786D">
        <w:rPr>
          <w:rFonts w:eastAsia="Times New Roman"/>
          <w:i/>
          <w:color w:val="000000"/>
        </w:rPr>
        <w:t xml:space="preserve">Herterorhabditis </w:t>
      </w:r>
      <w:r w:rsidRPr="0099786D">
        <w:rPr>
          <w:rFonts w:eastAsia="Times New Roman"/>
          <w:color w:val="000000"/>
        </w:rPr>
        <w:t xml:space="preserve">als mögliche persistierende Pathogene sich immer noch im Boden befunden hätten, und somit eine kontrollierende Wirkung auf </w:t>
      </w:r>
      <w:r w:rsidRPr="0099786D">
        <w:rPr>
          <w:rFonts w:eastAsia="Times New Roman"/>
          <w:i/>
          <w:color w:val="000000"/>
        </w:rPr>
        <w:t xml:space="preserve">Diabrotica </w:t>
      </w:r>
      <w:r w:rsidRPr="0099786D">
        <w:rPr>
          <w:rFonts w:eastAsia="Times New Roman"/>
          <w:color w:val="000000"/>
        </w:rPr>
        <w:t xml:space="preserve">ausüben hätten </w:t>
      </w:r>
      <w:r w:rsidRPr="0099786D">
        <w:rPr>
          <w:rFonts w:eastAsia="Times New Roman"/>
          <w:i/>
          <w:color w:val="000000"/>
        </w:rPr>
        <w:t>können</w:t>
      </w:r>
      <w:r w:rsidRPr="0099786D">
        <w:rPr>
          <w:rFonts w:eastAsia="Times New Roman"/>
          <w:color w:val="000000"/>
        </w:rPr>
        <w:t xml:space="preserve">. Dem war aber gemäß </w:t>
      </w:r>
      <w:r w:rsidR="00973BAB">
        <w:rPr>
          <w:rFonts w:eastAsia="Times New Roman"/>
          <w:color w:val="000000"/>
        </w:rPr>
        <w:t>den Ergebnissen</w:t>
      </w:r>
      <w:r>
        <w:rPr>
          <w:rFonts w:eastAsia="Times New Roman"/>
          <w:color w:val="000000"/>
        </w:rPr>
        <w:t xml:space="preserve"> des </w:t>
      </w:r>
      <w:r w:rsidRPr="0099786D">
        <w:rPr>
          <w:rFonts w:eastAsia="Times New Roman"/>
          <w:color w:val="000000"/>
        </w:rPr>
        <w:t>Käfer</w:t>
      </w:r>
      <w:r>
        <w:rPr>
          <w:rFonts w:eastAsia="Times New Roman"/>
          <w:color w:val="000000"/>
        </w:rPr>
        <w:t>m</w:t>
      </w:r>
      <w:r w:rsidRPr="0099786D">
        <w:rPr>
          <w:rFonts w:eastAsia="Times New Roman"/>
          <w:color w:val="000000"/>
        </w:rPr>
        <w:t>onitoring</w:t>
      </w:r>
      <w:r>
        <w:rPr>
          <w:rFonts w:eastAsia="Times New Roman"/>
          <w:color w:val="000000"/>
        </w:rPr>
        <w:t>s</w:t>
      </w:r>
      <w:r w:rsidRPr="0099786D">
        <w:rPr>
          <w:rFonts w:eastAsia="Times New Roman"/>
          <w:color w:val="000000"/>
        </w:rPr>
        <w:t xml:space="preserve"> 2018 nicht</w:t>
      </w:r>
      <w:r>
        <w:rPr>
          <w:rFonts w:eastAsia="Times New Roman"/>
          <w:color w:val="000000"/>
        </w:rPr>
        <w:t xml:space="preserve"> der Fall</w:t>
      </w:r>
      <w:r w:rsidRPr="0099786D">
        <w:rPr>
          <w:rFonts w:eastAsia="Times New Roman"/>
          <w:color w:val="000000"/>
        </w:rPr>
        <w:t xml:space="preserve">. In der Pflanzsaison 2015 wurden auch in diesen zwei Reihen die geringsten Käferfangzahlen ermittelt (Rauch et al. 2017). In der Pflanzsaison 2018 hingegen wurde </w:t>
      </w:r>
      <w:r w:rsidRPr="000E7FDF">
        <w:rPr>
          <w:rFonts w:eastAsia="Times New Roman"/>
          <w:color w:val="000000"/>
        </w:rPr>
        <w:t xml:space="preserve">jedoch gerade in Reihe 4, die größte Käferfangzahl erzielt (siehe auch rote Flächenmarkierung in Feld 2, Abbildung </w:t>
      </w:r>
      <w:r w:rsidR="00D7203E" w:rsidRPr="000E7FDF">
        <w:rPr>
          <w:rFonts w:eastAsia="Times New Roman"/>
          <w:color w:val="000000"/>
        </w:rPr>
        <w:t>62</w:t>
      </w:r>
      <w:r w:rsidRPr="000E7FDF">
        <w:rPr>
          <w:rFonts w:eastAsia="Times New Roman"/>
          <w:color w:val="000000"/>
        </w:rPr>
        <w:t>). Die Persistenz-Erhebung, welche vom Partner 2 Biohelp durchgeführt wurde, kam zum selben Ergebnis. Der Grundbesatz</w:t>
      </w:r>
      <w:r w:rsidRPr="0099786D">
        <w:rPr>
          <w:rFonts w:eastAsia="Times New Roman"/>
          <w:color w:val="000000"/>
        </w:rPr>
        <w:t xml:space="preserve"> von Nematoden in den Böden des Standorts Gomboc musste mit „als nicht nachweisbar“ charakterisiert werden. Bezüglich Pilz</w:t>
      </w:r>
      <w:r>
        <w:rPr>
          <w:rFonts w:eastAsia="Times New Roman"/>
          <w:color w:val="000000"/>
        </w:rPr>
        <w:t>p</w:t>
      </w:r>
      <w:r w:rsidRPr="0099786D">
        <w:rPr>
          <w:rFonts w:eastAsia="Times New Roman"/>
          <w:color w:val="000000"/>
        </w:rPr>
        <w:t>ersistenz konnten nur vereinzelt verpilzte Larven außerhalb der 2018 applizierten Parzellen gefunden werden. Genotypisierungs - Analysen, die zurzeit durchgeführt werden, sollen nun zeigen, ob es sich um den GranMet</w:t>
      </w:r>
      <w:r w:rsidRPr="0099786D">
        <w:rPr>
          <w:rFonts w:eastAsia="Times New Roman"/>
          <w:color w:val="000000"/>
          <w:vertAlign w:val="superscript"/>
        </w:rPr>
        <w:t>TM</w:t>
      </w:r>
      <w:r w:rsidRPr="0099786D">
        <w:rPr>
          <w:rFonts w:eastAsia="Times New Roman"/>
          <w:color w:val="000000"/>
        </w:rPr>
        <w:t xml:space="preserve"> Produktionsstamm, oder um einen indigenen </w:t>
      </w:r>
      <w:r w:rsidRPr="0099786D">
        <w:rPr>
          <w:rFonts w:eastAsia="Times New Roman"/>
          <w:i/>
          <w:color w:val="000000"/>
        </w:rPr>
        <w:t>Metarhizum</w:t>
      </w:r>
      <w:r w:rsidRPr="0099786D">
        <w:rPr>
          <w:rFonts w:eastAsia="Times New Roman"/>
          <w:color w:val="000000"/>
        </w:rPr>
        <w:t xml:space="preserve"> Stamm handelt. Prinzipiell stammten die meisten verpilzten </w:t>
      </w:r>
      <w:r w:rsidRPr="0099786D">
        <w:rPr>
          <w:rFonts w:eastAsia="Times New Roman"/>
          <w:i/>
          <w:color w:val="000000"/>
        </w:rPr>
        <w:t>Tenebrio</w:t>
      </w:r>
      <w:r w:rsidRPr="0099786D">
        <w:rPr>
          <w:rFonts w:eastAsia="Times New Roman"/>
          <w:color w:val="000000"/>
        </w:rPr>
        <w:t xml:space="preserve"> Larven aus den mit GranMet</w:t>
      </w:r>
      <w:r w:rsidRPr="0099786D">
        <w:rPr>
          <w:rFonts w:eastAsia="Times New Roman"/>
          <w:color w:val="000000"/>
          <w:vertAlign w:val="superscript"/>
        </w:rPr>
        <w:t>TM</w:t>
      </w:r>
      <w:r w:rsidRPr="0099786D">
        <w:rPr>
          <w:rFonts w:eastAsia="Times New Roman"/>
          <w:color w:val="000000"/>
        </w:rPr>
        <w:t xml:space="preserve"> applizierten Parzellen vom heurigen Versuchsjahr 2018. </w:t>
      </w:r>
    </w:p>
    <w:p w:rsidR="00D7203E" w:rsidRDefault="00D7203E">
      <w:pPr>
        <w:rPr>
          <w:rFonts w:eastAsia="Times New Roman"/>
          <w:color w:val="000000"/>
        </w:rPr>
      </w:pPr>
      <w:r>
        <w:rPr>
          <w:rFonts w:eastAsia="Times New Roman"/>
          <w:color w:val="000000"/>
        </w:rPr>
        <w:br w:type="page"/>
      </w:r>
    </w:p>
    <w:p w:rsidR="00AB154F" w:rsidRDefault="00841977" w:rsidP="00DF038A">
      <w:pPr>
        <w:pStyle w:val="berschrift118pt"/>
        <w:numPr>
          <w:ilvl w:val="0"/>
          <w:numId w:val="11"/>
        </w:numPr>
      </w:pPr>
      <w:bookmarkStart w:id="366" w:name="_Toc7715636"/>
      <w:r>
        <w:t>überwinterungsversuch</w:t>
      </w:r>
      <w:bookmarkEnd w:id="366"/>
    </w:p>
    <w:p w:rsidR="000E7FDF" w:rsidRPr="000E7FDF" w:rsidRDefault="000E7FDF" w:rsidP="000E7FDF">
      <w:pPr>
        <w:pStyle w:val="FlietextEinleitung"/>
      </w:pPr>
    </w:p>
    <w:p w:rsidR="00AB154F" w:rsidRPr="00AB154F" w:rsidRDefault="00AB154F" w:rsidP="00AB154F">
      <w:pPr>
        <w:pStyle w:val="FlietextEinleitung"/>
        <w:ind w:firstLine="0"/>
        <w:jc w:val="both"/>
        <w:rPr>
          <w:rFonts w:eastAsia="Times New Roman"/>
        </w:rPr>
      </w:pPr>
      <w:r w:rsidRPr="00AB154F">
        <w:rPr>
          <w:rFonts w:eastAsia="Times New Roman"/>
        </w:rPr>
        <w:t xml:space="preserve">Bei der eigenen Zucht von </w:t>
      </w:r>
      <w:r w:rsidRPr="00AB154F">
        <w:rPr>
          <w:rFonts w:eastAsia="Times New Roman"/>
          <w:i/>
        </w:rPr>
        <w:t>Diabrotica virgifera</w:t>
      </w:r>
      <w:r w:rsidRPr="00AB154F">
        <w:rPr>
          <w:rFonts w:eastAsia="Times New Roman"/>
        </w:rPr>
        <w:t xml:space="preserve"> wurde </w:t>
      </w:r>
      <w:r w:rsidRPr="00AB154F">
        <w:rPr>
          <w:rFonts w:eastAsia="Times New Roman"/>
          <w:i/>
        </w:rPr>
        <w:t>Lecanicillium lecanii</w:t>
      </w:r>
      <w:r w:rsidRPr="00AB154F">
        <w:rPr>
          <w:rFonts w:eastAsia="Times New Roman"/>
        </w:rPr>
        <w:t xml:space="preserve"> immer wieder als begrenzender Faktor beobachtet, da dieser Pilz die Eier befällt und dabei die Schlupfrate der Eier drastisch reduzieren kann. Im vorliegenden Projekt sollte die Wirksamkeit von </w:t>
      </w:r>
      <w:r w:rsidRPr="00AB154F">
        <w:rPr>
          <w:rFonts w:eastAsia="Times New Roman"/>
          <w:i/>
        </w:rPr>
        <w:t>L. lecanii</w:t>
      </w:r>
      <w:r w:rsidRPr="00AB154F">
        <w:rPr>
          <w:rFonts w:eastAsia="Times New Roman"/>
        </w:rPr>
        <w:t xml:space="preserve"> im Freiland getestet werden. Da der Pilz die Eier und nicht die Larven befällt, erfolgte die Ausbringung im Herbst vor der Bodenbearbeitung. </w:t>
      </w:r>
      <w:r>
        <w:rPr>
          <w:rFonts w:eastAsia="Times New Roman"/>
        </w:rPr>
        <w:t>D</w:t>
      </w:r>
      <w:r w:rsidRPr="00AB154F">
        <w:rPr>
          <w:rFonts w:eastAsia="Times New Roman"/>
        </w:rPr>
        <w:t xml:space="preserve">er groß angelegte Wirksamkeitsversuch 2016/17 in der Steiermark hatte keine Etablierung des eingesetzten Pilzes Lecanicillium lecanii im Boden und dementsprechend auch keine Wirkung gegenüber </w:t>
      </w:r>
      <w:r w:rsidRPr="00AB154F">
        <w:rPr>
          <w:rFonts w:eastAsia="Times New Roman"/>
          <w:i/>
        </w:rPr>
        <w:t>Diabrotica virgifera</w:t>
      </w:r>
      <w:r w:rsidRPr="00AB154F">
        <w:rPr>
          <w:rFonts w:eastAsia="Times New Roman"/>
        </w:rPr>
        <w:t xml:space="preserve"> gezeigt. Es galt daher herauszufinden, woran die Etablierung von </w:t>
      </w:r>
      <w:r w:rsidRPr="00AB154F">
        <w:rPr>
          <w:rFonts w:eastAsia="Times New Roman"/>
          <w:i/>
        </w:rPr>
        <w:t xml:space="preserve">Lecanicillium lecanii </w:t>
      </w:r>
      <w:r w:rsidRPr="00AB154F">
        <w:rPr>
          <w:rFonts w:eastAsia="Times New Roman"/>
        </w:rPr>
        <w:t>im Boden scheiterte. Gemäß allgemeiner Erfahrung (u.a. pers. Mitt. Dr. Strasser, Dr. Pilz) zeigt sich während der Überwinterung von "Pilzgerste" (mit insektenpathogenen Bodenpilzen bewachsene Gerstenkörner) eine rasante Reduktion der eingebrachten Sporenmenge. Entsprechend der oberflächlichen Ablage von Maiswurzelbohrer-Eiern und der Kulturtechnik im Maisanbau ergibt sich jedoch die Notwendigkeit, die Pilzgerste bereits kurz vor der Herbstackerung auszubringen. Nur auf diese Weise kommen die Pilzstrukturen beim Wenden des Bodens in der Nähe der Eier zu liegen und könnten während der langen Lagerung im Herbst, Winter und Frühjahr die Eier parasitieren.</w:t>
      </w:r>
      <w:r>
        <w:rPr>
          <w:rFonts w:eastAsia="Times New Roman"/>
        </w:rPr>
        <w:t xml:space="preserve"> </w:t>
      </w:r>
      <w:r w:rsidRPr="00AB154F">
        <w:rPr>
          <w:rFonts w:eastAsia="Times New Roman"/>
        </w:rPr>
        <w:t xml:space="preserve">Da die Ausbringung im Herbst notwendig ist um </w:t>
      </w:r>
      <w:r w:rsidRPr="00AB154F">
        <w:rPr>
          <w:rFonts w:eastAsia="Times New Roman"/>
          <w:i/>
        </w:rPr>
        <w:t>L. lecanii</w:t>
      </w:r>
      <w:r w:rsidRPr="00AB154F">
        <w:rPr>
          <w:rFonts w:eastAsia="Times New Roman"/>
        </w:rPr>
        <w:t xml:space="preserve"> mit den </w:t>
      </w:r>
      <w:r w:rsidRPr="00AB154F">
        <w:rPr>
          <w:rFonts w:eastAsia="Times New Roman"/>
          <w:i/>
        </w:rPr>
        <w:t>Diabrotica</w:t>
      </w:r>
      <w:r w:rsidRPr="00AB154F">
        <w:rPr>
          <w:rFonts w:eastAsia="Times New Roman"/>
        </w:rPr>
        <w:t xml:space="preserve">-Eiern in Berührung zu bringen, wurden im vorliegenden Versuch die Einflussfaktoren Boden, Temperatur und Trägermaterial auf die Persistenz des Pilzes im Boden untersucht. Es erfolgte außerdem ein Vergleich mit </w:t>
      </w:r>
      <w:r w:rsidRPr="00AB154F">
        <w:rPr>
          <w:rFonts w:eastAsia="Times New Roman"/>
          <w:i/>
        </w:rPr>
        <w:t>Metarhizium brunneum</w:t>
      </w:r>
      <w:r w:rsidRPr="00AB154F">
        <w:rPr>
          <w:rFonts w:eastAsia="Times New Roman"/>
        </w:rPr>
        <w:t>.</w:t>
      </w:r>
      <w:r>
        <w:rPr>
          <w:rFonts w:eastAsia="Times New Roman"/>
        </w:rPr>
        <w:t xml:space="preserve"> </w:t>
      </w:r>
    </w:p>
    <w:p w:rsidR="00841977" w:rsidRPr="00AB154F" w:rsidRDefault="00841977" w:rsidP="00A80122">
      <w:pPr>
        <w:pStyle w:val="FlietextEinleitung"/>
        <w:ind w:firstLine="0"/>
        <w:rPr>
          <w:rFonts w:eastAsia="Times New Roman"/>
        </w:rPr>
      </w:pPr>
      <w:r w:rsidRPr="00AB154F">
        <w:rPr>
          <w:rFonts w:eastAsia="Times New Roman"/>
        </w:rPr>
        <w:t xml:space="preserve">Deshalb </w:t>
      </w:r>
      <w:r w:rsidR="00A80122" w:rsidRPr="00AB154F">
        <w:rPr>
          <w:rFonts w:eastAsia="Times New Roman"/>
        </w:rPr>
        <w:t>wurde bezüglich Lecanicillium lecanii</w:t>
      </w:r>
      <w:r w:rsidRPr="00AB154F">
        <w:rPr>
          <w:rFonts w:eastAsia="Times New Roman"/>
        </w:rPr>
        <w:t xml:space="preserve"> </w:t>
      </w:r>
      <w:r w:rsidR="000665E2" w:rsidRPr="00AB154F">
        <w:rPr>
          <w:rFonts w:eastAsia="Times New Roman"/>
        </w:rPr>
        <w:t>die</w:t>
      </w:r>
      <w:r w:rsidRPr="00AB154F">
        <w:rPr>
          <w:rFonts w:eastAsia="Times New Roman"/>
        </w:rPr>
        <w:t xml:space="preserve"> alternative </w:t>
      </w:r>
      <w:r w:rsidR="00A80122" w:rsidRPr="00AB154F">
        <w:rPr>
          <w:rFonts w:eastAsia="Times New Roman"/>
        </w:rPr>
        <w:t>Untersuchung</w:t>
      </w:r>
      <w:r w:rsidRPr="00AB154F">
        <w:rPr>
          <w:rFonts w:eastAsia="Times New Roman"/>
        </w:rPr>
        <w:t xml:space="preserve"> zum ursprünglich geplanten g</w:t>
      </w:r>
      <w:r w:rsidR="00A80122" w:rsidRPr="00AB154F">
        <w:rPr>
          <w:rFonts w:eastAsia="Times New Roman"/>
        </w:rPr>
        <w:t>emeinsamen Kombinationsversuch durchgeführt</w:t>
      </w:r>
      <w:r w:rsidR="000665E2" w:rsidRPr="00AB154F">
        <w:rPr>
          <w:rFonts w:eastAsia="Times New Roman"/>
        </w:rPr>
        <w:t>.</w:t>
      </w:r>
    </w:p>
    <w:p w:rsidR="00661994" w:rsidRPr="00AB154F" w:rsidRDefault="00661994" w:rsidP="00661994">
      <w:pPr>
        <w:pStyle w:val="Flietext"/>
        <w:rPr>
          <w:rFonts w:eastAsia="Times New Roman"/>
        </w:rPr>
      </w:pPr>
    </w:p>
    <w:p w:rsidR="00A80122" w:rsidRDefault="00841977" w:rsidP="000665E2">
      <w:pPr>
        <w:pStyle w:val="1Unterkapitel"/>
      </w:pPr>
      <w:bookmarkStart w:id="367" w:name="_Toc7715637"/>
      <w:r>
        <w:t xml:space="preserve">Untersuchung der Überwinterung </w:t>
      </w:r>
      <w:r w:rsidR="00A80122">
        <w:t>von</w:t>
      </w:r>
      <w:r>
        <w:t xml:space="preserve"> Lecanicillium lecanii und Metarhizium brunneum</w:t>
      </w:r>
      <w:bookmarkEnd w:id="367"/>
    </w:p>
    <w:p w:rsidR="000665E2" w:rsidRPr="000665E2" w:rsidRDefault="000665E2" w:rsidP="000665E2">
      <w:pPr>
        <w:pStyle w:val="Flietext"/>
      </w:pPr>
    </w:p>
    <w:p w:rsidR="00A80122" w:rsidRPr="00661994" w:rsidRDefault="00A80122" w:rsidP="00A80122">
      <w:pPr>
        <w:jc w:val="both"/>
        <w:rPr>
          <w:color w:val="000000"/>
        </w:rPr>
      </w:pPr>
      <w:r w:rsidRPr="00661994">
        <w:rPr>
          <w:color w:val="000000"/>
        </w:rPr>
        <w:t>Im Feldversuch wurden die beiden entomopathogenen Pilze Lecanicillium lecanii (AGES-Eigenisolat) und Metarhizium brunneum (Stamm F52) verwendet. Die Kultivierung de</w:t>
      </w:r>
      <w:r w:rsidR="000665E2" w:rsidRPr="00661994">
        <w:rPr>
          <w:color w:val="000000"/>
        </w:rPr>
        <w:t xml:space="preserve">r Pilze </w:t>
      </w:r>
      <w:r w:rsidRPr="00661994">
        <w:rPr>
          <w:color w:val="000000"/>
        </w:rPr>
        <w:t xml:space="preserve">erfolgte auf Potato Dextrose Agar (PDA) bei +19°C und Dunkelheit. Für die Versuche wurden 1-2 Monate alte Platten verwendet. </w:t>
      </w:r>
    </w:p>
    <w:p w:rsidR="00A80122" w:rsidRDefault="00A80122" w:rsidP="00A80122">
      <w:pPr>
        <w:pStyle w:val="11Unterkapitel"/>
      </w:pPr>
      <w:bookmarkStart w:id="368" w:name="_Toc7715638"/>
      <w:r>
        <w:t>herstellung der Pilzgerste und der substratmischungen</w:t>
      </w:r>
      <w:bookmarkEnd w:id="368"/>
    </w:p>
    <w:p w:rsidR="00A80122" w:rsidRPr="00ED79DA" w:rsidRDefault="00A80122" w:rsidP="00A80122">
      <w:pPr>
        <w:jc w:val="both"/>
        <w:rPr>
          <w:rFonts w:eastAsia="Times New Roman"/>
          <w:sz w:val="22"/>
          <w:szCs w:val="22"/>
          <w:lang w:val="de-DE" w:eastAsia="de-AT"/>
        </w:rPr>
      </w:pPr>
    </w:p>
    <w:p w:rsidR="00A80122" w:rsidRPr="00661994" w:rsidRDefault="00A80122" w:rsidP="00661994">
      <w:pPr>
        <w:jc w:val="both"/>
        <w:rPr>
          <w:rFonts w:eastAsia="Times New Roman"/>
          <w:color w:val="000000"/>
        </w:rPr>
      </w:pPr>
      <w:r w:rsidRPr="00661994">
        <w:rPr>
          <w:rFonts w:eastAsia="Times New Roman"/>
          <w:color w:val="000000"/>
        </w:rPr>
        <w:t xml:space="preserve">Ungebeizte Gerstenkörner wurden in Wasser und bei Zimmertemperatur über Nacht vorgequollen und am Folgetag zweimalig bei 122°C autoklaviert. Nach dem Trocknen und Auskühlen unter der Sterilbank, erfolgte die Inokulation mit </w:t>
      </w:r>
      <w:r w:rsidRPr="00661994">
        <w:rPr>
          <w:rFonts w:eastAsia="Times New Roman"/>
          <w:i/>
          <w:color w:val="000000"/>
        </w:rPr>
        <w:t>L. lecanii</w:t>
      </w:r>
      <w:r w:rsidRPr="00661994">
        <w:rPr>
          <w:rFonts w:eastAsia="Times New Roman"/>
          <w:color w:val="000000"/>
        </w:rPr>
        <w:t xml:space="preserve"> bzw. </w:t>
      </w:r>
      <w:r w:rsidRPr="00661994">
        <w:rPr>
          <w:rFonts w:eastAsia="Times New Roman"/>
          <w:i/>
          <w:color w:val="000000"/>
        </w:rPr>
        <w:t>M. brunneum</w:t>
      </w:r>
      <w:r w:rsidRPr="00661994">
        <w:rPr>
          <w:rFonts w:eastAsia="Times New Roman"/>
          <w:color w:val="000000"/>
        </w:rPr>
        <w:t xml:space="preserve">. Anschließend wurde die Pilzgerste für 1 Woche bei 25°C und Dunkelheit gelagert. Während der Lagerung wurden die Pilzgerstesäcke mehrmals durchmischt, um eine gleichmäßige Verteilung der Pilzsporen zu gewährleisten. Anschließend wurden sie bis zur Ausbringung am Feld bei 4°C und Dunkelheit gelagert. Die Sporenkonzentration der </w:t>
      </w:r>
      <w:r w:rsidRPr="00661994">
        <w:rPr>
          <w:rFonts w:eastAsia="Times New Roman"/>
          <w:i/>
          <w:color w:val="000000"/>
        </w:rPr>
        <w:t>L. lecanii</w:t>
      </w:r>
      <w:r w:rsidRPr="00661994">
        <w:rPr>
          <w:rFonts w:eastAsia="Times New Roman"/>
          <w:color w:val="000000"/>
        </w:rPr>
        <w:t xml:space="preserve">-Pilzgerste betrug bei der Ausbringung 1,64x108 Sporen/g Pilzgerste und die der </w:t>
      </w:r>
      <w:r w:rsidRPr="00661994">
        <w:rPr>
          <w:rFonts w:eastAsia="Times New Roman"/>
          <w:i/>
          <w:color w:val="000000"/>
        </w:rPr>
        <w:t>M. brunneum</w:t>
      </w:r>
      <w:r w:rsidRPr="00661994">
        <w:rPr>
          <w:rFonts w:eastAsia="Times New Roman"/>
          <w:color w:val="000000"/>
        </w:rPr>
        <w:t>-Pilzgerste lag bei 3,86x107</w:t>
      </w:r>
      <w:r w:rsidR="00661994" w:rsidRPr="00661994">
        <w:rPr>
          <w:rFonts w:eastAsia="Times New Roman"/>
          <w:color w:val="000000"/>
        </w:rPr>
        <w:t xml:space="preserve"> Sporen/g Pilzgerste. </w:t>
      </w:r>
    </w:p>
    <w:p w:rsidR="00A80122" w:rsidRPr="00661994" w:rsidRDefault="00A80122" w:rsidP="00661994">
      <w:pPr>
        <w:jc w:val="both"/>
        <w:rPr>
          <w:rFonts w:eastAsia="Times New Roman"/>
          <w:color w:val="000000"/>
        </w:rPr>
      </w:pPr>
      <w:r w:rsidRPr="00661994">
        <w:rPr>
          <w:rFonts w:eastAsia="Times New Roman"/>
          <w:color w:val="000000"/>
        </w:rPr>
        <w:t xml:space="preserve">Vermiculit wurde kurz vor der Ausbringung am Feld mit einer </w:t>
      </w:r>
      <w:r w:rsidRPr="00661994">
        <w:rPr>
          <w:rFonts w:eastAsia="Times New Roman"/>
          <w:i/>
          <w:color w:val="000000"/>
        </w:rPr>
        <w:t>L. lecanii</w:t>
      </w:r>
      <w:r w:rsidRPr="00661994">
        <w:rPr>
          <w:rFonts w:eastAsia="Times New Roman"/>
          <w:color w:val="000000"/>
        </w:rPr>
        <w:t xml:space="preserve"> bzw. </w:t>
      </w:r>
      <w:r w:rsidRPr="00661994">
        <w:rPr>
          <w:rFonts w:eastAsia="Times New Roman"/>
          <w:i/>
          <w:color w:val="000000"/>
        </w:rPr>
        <w:t>M. brunneum</w:t>
      </w:r>
      <w:r w:rsidRPr="00661994">
        <w:rPr>
          <w:rFonts w:eastAsia="Times New Roman"/>
          <w:color w:val="000000"/>
        </w:rPr>
        <w:t xml:space="preserve"> Myzelsuspension vermischt. Die Sporenkonzentration der Vermiculitsubstrate betrug 1x107 Sporen/ml.</w:t>
      </w:r>
    </w:p>
    <w:p w:rsidR="00A80122" w:rsidRPr="00661994" w:rsidRDefault="00A80122" w:rsidP="00661994">
      <w:pPr>
        <w:jc w:val="both"/>
        <w:rPr>
          <w:rFonts w:eastAsia="Times New Roman"/>
          <w:color w:val="000000"/>
        </w:rPr>
      </w:pPr>
      <w:r w:rsidRPr="00661994">
        <w:rPr>
          <w:rFonts w:eastAsia="Times New Roman"/>
          <w:color w:val="000000"/>
        </w:rPr>
        <w:t>Es wurde Erde von zwei verschiedenen Böden verwendet: Lehmiger Sand (</w:t>
      </w:r>
      <w:r w:rsidR="0087033C">
        <w:t xml:space="preserve">(Marchegg, NÖ) </w:t>
      </w:r>
      <w:r w:rsidRPr="00661994">
        <w:rPr>
          <w:rFonts w:eastAsia="Times New Roman"/>
          <w:color w:val="000000"/>
        </w:rPr>
        <w:t>und Sandiger Lehm (AGES Standort). Ein Viertel der Erde</w:t>
      </w:r>
      <w:r w:rsidR="000665E2" w:rsidRPr="00661994">
        <w:rPr>
          <w:rFonts w:eastAsia="Times New Roman"/>
          <w:color w:val="000000"/>
        </w:rPr>
        <w:t xml:space="preserve"> wurde mit Maisstroh vermischt um die Bedingungen am Feld mit zusätzlichem Nährstoffeintrag der sich zersetzenden Blätter und der darauf befindlichen Zusammensetzung von Mikroorganismen zu simulieren.</w:t>
      </w:r>
    </w:p>
    <w:p w:rsidR="00661994" w:rsidRPr="00661994" w:rsidRDefault="00661994" w:rsidP="00A80122">
      <w:pPr>
        <w:rPr>
          <w:rFonts w:eastAsia="Times New Roman"/>
          <w:color w:val="000000"/>
        </w:rPr>
      </w:pPr>
    </w:p>
    <w:p w:rsidR="00AB154F" w:rsidRPr="00AB154F" w:rsidRDefault="00A80122" w:rsidP="00DF038A">
      <w:pPr>
        <w:pStyle w:val="11Unterkapitel"/>
        <w:numPr>
          <w:ilvl w:val="2"/>
          <w:numId w:val="12"/>
        </w:numPr>
      </w:pPr>
      <w:bookmarkStart w:id="369" w:name="_Toc7715639"/>
      <w:r>
        <w:t>versuchs</w:t>
      </w:r>
      <w:r w:rsidR="00AB154F">
        <w:t>design</w:t>
      </w:r>
      <w:bookmarkEnd w:id="369"/>
    </w:p>
    <w:p w:rsidR="00661994" w:rsidRPr="00973BAB" w:rsidRDefault="00661994" w:rsidP="00661994">
      <w:pPr>
        <w:pStyle w:val="Flietext"/>
        <w:jc w:val="both"/>
      </w:pPr>
      <w:r w:rsidRPr="00973BAB">
        <w:t>Am 30. Oktober 2017 wurden in einem Versuchsfeld in Wien Donaustadt Kunststoffrohre (Länge: 37,5 cm; Durchmesser: 11 cm), welche nach oben und unten offen waren, eingegraben. Anschließend wurden sie mit zwei verschiedenen Böden befüllt, welche zuvor mit Pilzgerste, Pilzgerste-Maisstroh-Gemisch oder Vermiculitsubstrat vermischt worden waren (Tabelle 9</w:t>
      </w:r>
      <w:r w:rsidR="00ED7BCB" w:rsidRPr="00973BAB">
        <w:t>, Abbildung 84 und 85</w:t>
      </w:r>
      <w:r w:rsidRPr="00973BAB">
        <w:t>). An 3 Terminen (6. Dezember 2017, 12. März 2018 und 7. Juni 2018) wurden Bodenproben aus den Rohren gezogen und analysiert. Korrespondierend wurden die Temperaturverläufe im Versuchsfeld aufgezeichnet. Die Persistenz der beiden Pilze wurde parallel auch im Kühllager bei 4°C gemessen. Die Beurteilung der Anzahl an kolonienbildender Einheiten (KBE) in den Bodenproben wurde mit Hilfe von Selektivmedium (Strasser et al. 1996).</w:t>
      </w:r>
    </w:p>
    <w:p w:rsidR="00661994" w:rsidRDefault="00661994" w:rsidP="00A80122">
      <w:pPr>
        <w:jc w:val="both"/>
        <w:rPr>
          <w:sz w:val="22"/>
          <w:szCs w:val="22"/>
        </w:rPr>
      </w:pPr>
    </w:p>
    <w:p w:rsidR="00A80122" w:rsidRDefault="000665E2" w:rsidP="00335E5D">
      <w:pPr>
        <w:pStyle w:val="Tabellentitel"/>
      </w:pPr>
      <w:bookmarkStart w:id="370" w:name="_Toc7715390"/>
      <w:r>
        <w:t xml:space="preserve">Tabelle </w:t>
      </w:r>
      <w:fldSimple w:instr=" SEQ Tabelle \* ARABIC ">
        <w:r w:rsidR="00335E5D">
          <w:rPr>
            <w:noProof/>
          </w:rPr>
          <w:t>9</w:t>
        </w:r>
      </w:fldSimple>
      <w:r>
        <w:t>:</w:t>
      </w:r>
      <w:r w:rsidRPr="00E366F0">
        <w:t xml:space="preserve"> </w:t>
      </w:r>
      <w:r>
        <w:t>varianten überwinterungsversuch</w:t>
      </w:r>
      <w:bookmarkEnd w:id="370"/>
    </w:p>
    <w:tbl>
      <w:tblPr>
        <w:tblW w:w="0" w:type="auto"/>
        <w:jc w:val="right"/>
        <w:tblBorders>
          <w:insideH w:val="single" w:sz="2" w:space="0" w:color="auto"/>
          <w:insideV w:val="single" w:sz="2" w:space="0" w:color="auto"/>
        </w:tblBorders>
        <w:tblLook w:val="04A0" w:firstRow="1" w:lastRow="0" w:firstColumn="1" w:lastColumn="0" w:noHBand="0" w:noVBand="1"/>
      </w:tblPr>
      <w:tblGrid>
        <w:gridCol w:w="1269"/>
        <w:gridCol w:w="2098"/>
        <w:gridCol w:w="3496"/>
        <w:gridCol w:w="2315"/>
      </w:tblGrid>
      <w:tr w:rsidR="005746AF" w:rsidRPr="0099786D" w:rsidTr="00335E5D">
        <w:trPr>
          <w:jc w:val="right"/>
        </w:trPr>
        <w:tc>
          <w:tcPr>
            <w:tcW w:w="1276" w:type="dxa"/>
            <w:tcBorders>
              <w:top w:val="nil"/>
            </w:tcBorders>
            <w:shd w:val="clear" w:color="auto" w:fill="auto"/>
            <w:vAlign w:val="center"/>
          </w:tcPr>
          <w:p w:rsidR="00335E5D" w:rsidRPr="0099786D" w:rsidRDefault="00335E5D" w:rsidP="00362A0B">
            <w:pPr>
              <w:spacing w:before="270" w:line="276" w:lineRule="auto"/>
              <w:rPr>
                <w:rFonts w:eastAsia="Times New Roman"/>
                <w:b/>
                <w:color w:val="0070C0"/>
              </w:rPr>
            </w:pPr>
            <w:r>
              <w:rPr>
                <w:rFonts w:eastAsia="Times New Roman"/>
                <w:b/>
                <w:color w:val="0070C0"/>
              </w:rPr>
              <w:t>Variante</w:t>
            </w:r>
          </w:p>
        </w:tc>
        <w:tc>
          <w:tcPr>
            <w:tcW w:w="2126" w:type="dxa"/>
            <w:tcBorders>
              <w:top w:val="nil"/>
            </w:tcBorders>
            <w:shd w:val="clear" w:color="auto" w:fill="auto"/>
            <w:vAlign w:val="center"/>
          </w:tcPr>
          <w:p w:rsidR="00335E5D" w:rsidRPr="00335E5D" w:rsidRDefault="00335E5D" w:rsidP="00335E5D">
            <w:pPr>
              <w:spacing w:before="270" w:line="276" w:lineRule="auto"/>
              <w:rPr>
                <w:rFonts w:eastAsia="Times New Roman"/>
                <w:b/>
                <w:color w:val="0070C0"/>
              </w:rPr>
            </w:pPr>
            <w:r w:rsidRPr="00335E5D">
              <w:rPr>
                <w:rFonts w:eastAsia="Times New Roman"/>
                <w:b/>
                <w:color w:val="0070C0"/>
              </w:rPr>
              <w:t>Erde</w:t>
            </w:r>
          </w:p>
        </w:tc>
        <w:tc>
          <w:tcPr>
            <w:tcW w:w="3544" w:type="dxa"/>
            <w:tcBorders>
              <w:top w:val="nil"/>
            </w:tcBorders>
            <w:shd w:val="clear" w:color="auto" w:fill="auto"/>
            <w:vAlign w:val="center"/>
          </w:tcPr>
          <w:p w:rsidR="00335E5D" w:rsidRPr="00335E5D" w:rsidRDefault="00335E5D" w:rsidP="00335E5D">
            <w:pPr>
              <w:spacing w:before="270" w:line="276" w:lineRule="auto"/>
              <w:rPr>
                <w:rFonts w:eastAsia="Times New Roman"/>
                <w:b/>
                <w:color w:val="0070C0"/>
              </w:rPr>
            </w:pPr>
            <w:r w:rsidRPr="00335E5D">
              <w:rPr>
                <w:rFonts w:eastAsia="Times New Roman"/>
                <w:b/>
                <w:color w:val="0070C0"/>
              </w:rPr>
              <w:t>Trägermaterial</w:t>
            </w:r>
          </w:p>
        </w:tc>
        <w:tc>
          <w:tcPr>
            <w:tcW w:w="2340" w:type="dxa"/>
            <w:tcBorders>
              <w:top w:val="nil"/>
            </w:tcBorders>
            <w:shd w:val="clear" w:color="auto" w:fill="auto"/>
            <w:vAlign w:val="center"/>
          </w:tcPr>
          <w:p w:rsidR="00335E5D" w:rsidRPr="00335E5D" w:rsidRDefault="00335E5D" w:rsidP="00335E5D">
            <w:pPr>
              <w:spacing w:before="270" w:line="276" w:lineRule="auto"/>
              <w:rPr>
                <w:rFonts w:eastAsia="Times New Roman"/>
                <w:b/>
                <w:color w:val="0070C0"/>
              </w:rPr>
            </w:pPr>
            <w:r w:rsidRPr="00335E5D">
              <w:rPr>
                <w:rFonts w:eastAsia="Times New Roman"/>
                <w:b/>
                <w:color w:val="0070C0"/>
              </w:rPr>
              <w:t>Pilz</w:t>
            </w:r>
          </w:p>
        </w:tc>
      </w:tr>
      <w:tr w:rsidR="005746AF" w:rsidRPr="0099786D" w:rsidTr="00335E5D">
        <w:trPr>
          <w:jc w:val="right"/>
        </w:trPr>
        <w:tc>
          <w:tcPr>
            <w:tcW w:w="1276" w:type="dxa"/>
            <w:shd w:val="clear" w:color="auto" w:fill="auto"/>
            <w:vAlign w:val="center"/>
          </w:tcPr>
          <w:p w:rsidR="00335E5D" w:rsidRPr="0099786D" w:rsidRDefault="00335E5D" w:rsidP="00335E5D">
            <w:pPr>
              <w:spacing w:before="270" w:line="276" w:lineRule="auto"/>
              <w:rPr>
                <w:rFonts w:eastAsia="Times New Roman"/>
                <w:b/>
                <w:color w:val="0070C0"/>
              </w:rPr>
            </w:pPr>
            <w:r>
              <w:rPr>
                <w:rFonts w:eastAsia="Times New Roman"/>
                <w:b/>
                <w:color w:val="0070C0"/>
              </w:rPr>
              <w:t>1</w:t>
            </w:r>
          </w:p>
        </w:tc>
        <w:tc>
          <w:tcPr>
            <w:tcW w:w="2126" w:type="dxa"/>
            <w:shd w:val="clear" w:color="auto" w:fill="auto"/>
          </w:tcPr>
          <w:p w:rsidR="00335E5D" w:rsidRPr="00ED79DA" w:rsidRDefault="00335E5D" w:rsidP="00362A0B">
            <w:pPr>
              <w:rPr>
                <w:rFonts w:eastAsia="Times New Roman"/>
                <w:color w:val="000000"/>
                <w:sz w:val="20"/>
                <w:szCs w:val="20"/>
                <w:lang w:eastAsia="de-DE"/>
              </w:rPr>
            </w:pPr>
            <w:r w:rsidRPr="00ED79DA">
              <w:rPr>
                <w:rFonts w:eastAsia="Times New Roman"/>
                <w:color w:val="000000"/>
                <w:sz w:val="20"/>
                <w:szCs w:val="20"/>
                <w:lang w:eastAsia="de-DE"/>
              </w:rPr>
              <w:t>Lehmiger Sand</w:t>
            </w:r>
          </w:p>
        </w:tc>
        <w:tc>
          <w:tcPr>
            <w:tcW w:w="3544" w:type="dxa"/>
            <w:shd w:val="clear" w:color="auto" w:fill="auto"/>
          </w:tcPr>
          <w:p w:rsidR="00335E5D" w:rsidRPr="00ED79DA" w:rsidRDefault="00335E5D" w:rsidP="00362A0B">
            <w:pPr>
              <w:rPr>
                <w:rFonts w:eastAsia="Times New Roman"/>
                <w:color w:val="000000"/>
                <w:sz w:val="20"/>
                <w:szCs w:val="20"/>
                <w:lang w:eastAsia="de-DE"/>
              </w:rPr>
            </w:pPr>
            <w:r w:rsidRPr="00ED79DA">
              <w:rPr>
                <w:rFonts w:eastAsia="Times New Roman"/>
                <w:color w:val="000000"/>
                <w:sz w:val="20"/>
                <w:szCs w:val="20"/>
                <w:lang w:eastAsia="de-DE"/>
              </w:rPr>
              <w:t>Gerste</w:t>
            </w:r>
          </w:p>
        </w:tc>
        <w:tc>
          <w:tcPr>
            <w:tcW w:w="2340" w:type="dxa"/>
            <w:shd w:val="clear" w:color="auto" w:fill="auto"/>
          </w:tcPr>
          <w:p w:rsidR="00335E5D" w:rsidRPr="00ED79DA" w:rsidRDefault="00335E5D" w:rsidP="00362A0B">
            <w:pPr>
              <w:rPr>
                <w:rFonts w:eastAsia="Times New Roman"/>
                <w:i/>
                <w:iCs/>
                <w:color w:val="000000"/>
                <w:sz w:val="20"/>
                <w:szCs w:val="20"/>
                <w:lang w:eastAsia="de-DE"/>
              </w:rPr>
            </w:pPr>
            <w:r w:rsidRPr="00ED79DA">
              <w:rPr>
                <w:rFonts w:eastAsia="Times New Roman"/>
                <w:i/>
                <w:iCs/>
                <w:color w:val="000000"/>
                <w:sz w:val="20"/>
                <w:szCs w:val="20"/>
                <w:lang w:eastAsia="de-DE"/>
              </w:rPr>
              <w:t>Lecanicillium lecanii</w:t>
            </w:r>
          </w:p>
        </w:tc>
      </w:tr>
      <w:tr w:rsidR="005746AF" w:rsidRPr="0099786D" w:rsidTr="00335E5D">
        <w:trPr>
          <w:jc w:val="right"/>
        </w:trPr>
        <w:tc>
          <w:tcPr>
            <w:tcW w:w="1276" w:type="dxa"/>
            <w:shd w:val="clear" w:color="auto" w:fill="auto"/>
            <w:vAlign w:val="center"/>
          </w:tcPr>
          <w:p w:rsidR="00335E5D" w:rsidRPr="0099786D" w:rsidRDefault="00335E5D" w:rsidP="00335E5D">
            <w:pPr>
              <w:spacing w:before="270" w:line="276" w:lineRule="auto"/>
              <w:rPr>
                <w:rFonts w:eastAsia="Times New Roman"/>
                <w:b/>
                <w:color w:val="0070C0"/>
              </w:rPr>
            </w:pPr>
            <w:r>
              <w:rPr>
                <w:rFonts w:eastAsia="Times New Roman"/>
                <w:b/>
                <w:color w:val="0070C0"/>
              </w:rPr>
              <w:t>2</w:t>
            </w:r>
          </w:p>
        </w:tc>
        <w:tc>
          <w:tcPr>
            <w:tcW w:w="2126" w:type="dxa"/>
            <w:shd w:val="clear" w:color="auto" w:fill="auto"/>
          </w:tcPr>
          <w:p w:rsidR="00335E5D" w:rsidRPr="00ED79DA" w:rsidRDefault="00335E5D" w:rsidP="00362A0B">
            <w:pPr>
              <w:rPr>
                <w:rFonts w:eastAsia="Times New Roman"/>
                <w:color w:val="000000"/>
                <w:sz w:val="20"/>
                <w:szCs w:val="20"/>
                <w:lang w:eastAsia="de-DE"/>
              </w:rPr>
            </w:pPr>
            <w:r w:rsidRPr="00ED79DA">
              <w:rPr>
                <w:rFonts w:eastAsia="Times New Roman"/>
                <w:color w:val="000000"/>
                <w:sz w:val="20"/>
                <w:szCs w:val="20"/>
                <w:lang w:eastAsia="de-DE"/>
              </w:rPr>
              <w:t>Lehmiger Sand</w:t>
            </w:r>
          </w:p>
        </w:tc>
        <w:tc>
          <w:tcPr>
            <w:tcW w:w="3544" w:type="dxa"/>
            <w:shd w:val="clear" w:color="auto" w:fill="auto"/>
          </w:tcPr>
          <w:p w:rsidR="00335E5D" w:rsidRPr="00ED79DA" w:rsidRDefault="00335E5D" w:rsidP="00362A0B">
            <w:pPr>
              <w:rPr>
                <w:rFonts w:eastAsia="Times New Roman"/>
                <w:color w:val="000000"/>
                <w:sz w:val="20"/>
                <w:szCs w:val="20"/>
                <w:lang w:eastAsia="de-DE"/>
              </w:rPr>
            </w:pPr>
            <w:r w:rsidRPr="00ED79DA">
              <w:rPr>
                <w:rFonts w:eastAsia="Times New Roman"/>
                <w:color w:val="000000"/>
                <w:sz w:val="20"/>
                <w:szCs w:val="20"/>
                <w:lang w:eastAsia="de-DE"/>
              </w:rPr>
              <w:t>Gerste</w:t>
            </w:r>
          </w:p>
        </w:tc>
        <w:tc>
          <w:tcPr>
            <w:tcW w:w="2340" w:type="dxa"/>
            <w:shd w:val="clear" w:color="auto" w:fill="auto"/>
          </w:tcPr>
          <w:p w:rsidR="00335E5D" w:rsidRPr="00ED79DA" w:rsidRDefault="00335E5D" w:rsidP="00362A0B">
            <w:pPr>
              <w:rPr>
                <w:rFonts w:eastAsia="Times New Roman"/>
                <w:i/>
                <w:iCs/>
                <w:color w:val="000000"/>
                <w:sz w:val="20"/>
                <w:szCs w:val="20"/>
                <w:lang w:eastAsia="de-DE"/>
              </w:rPr>
            </w:pPr>
            <w:r w:rsidRPr="00ED79DA">
              <w:rPr>
                <w:rFonts w:eastAsia="Times New Roman"/>
                <w:i/>
                <w:iCs/>
                <w:color w:val="000000"/>
                <w:sz w:val="20"/>
                <w:szCs w:val="20"/>
                <w:lang w:eastAsia="de-DE"/>
              </w:rPr>
              <w:t>Metarhizium brunneum</w:t>
            </w:r>
          </w:p>
        </w:tc>
      </w:tr>
      <w:tr w:rsidR="005746AF" w:rsidRPr="0099786D" w:rsidTr="00335E5D">
        <w:trPr>
          <w:jc w:val="right"/>
        </w:trPr>
        <w:tc>
          <w:tcPr>
            <w:tcW w:w="1276" w:type="dxa"/>
            <w:shd w:val="clear" w:color="auto" w:fill="auto"/>
            <w:vAlign w:val="center"/>
          </w:tcPr>
          <w:p w:rsidR="00335E5D" w:rsidRPr="0099786D" w:rsidRDefault="00335E5D" w:rsidP="00335E5D">
            <w:pPr>
              <w:spacing w:before="270" w:line="276" w:lineRule="auto"/>
              <w:rPr>
                <w:rFonts w:eastAsia="Times New Roman"/>
                <w:b/>
                <w:color w:val="0070C0"/>
              </w:rPr>
            </w:pPr>
            <w:r>
              <w:rPr>
                <w:rFonts w:eastAsia="Times New Roman"/>
                <w:b/>
                <w:color w:val="0070C0"/>
              </w:rPr>
              <w:t>3</w:t>
            </w:r>
          </w:p>
        </w:tc>
        <w:tc>
          <w:tcPr>
            <w:tcW w:w="2126" w:type="dxa"/>
            <w:shd w:val="clear" w:color="auto" w:fill="auto"/>
          </w:tcPr>
          <w:p w:rsidR="00335E5D" w:rsidRPr="00ED79DA" w:rsidRDefault="00335E5D" w:rsidP="00362A0B">
            <w:pPr>
              <w:rPr>
                <w:rFonts w:eastAsia="Times New Roman"/>
                <w:color w:val="000000"/>
                <w:sz w:val="20"/>
                <w:szCs w:val="20"/>
                <w:lang w:eastAsia="de-DE"/>
              </w:rPr>
            </w:pPr>
            <w:r w:rsidRPr="00ED79DA">
              <w:rPr>
                <w:rFonts w:eastAsia="Times New Roman"/>
                <w:color w:val="000000"/>
                <w:sz w:val="20"/>
                <w:szCs w:val="20"/>
                <w:lang w:eastAsia="de-DE"/>
              </w:rPr>
              <w:t>Lehmiger Sand</w:t>
            </w:r>
          </w:p>
        </w:tc>
        <w:tc>
          <w:tcPr>
            <w:tcW w:w="3544" w:type="dxa"/>
            <w:shd w:val="clear" w:color="auto" w:fill="auto"/>
          </w:tcPr>
          <w:p w:rsidR="00335E5D" w:rsidRPr="00ED79DA" w:rsidRDefault="00661994" w:rsidP="00362A0B">
            <w:pPr>
              <w:rPr>
                <w:rFonts w:eastAsia="Times New Roman"/>
                <w:color w:val="000000"/>
                <w:sz w:val="20"/>
                <w:szCs w:val="20"/>
                <w:lang w:eastAsia="de-DE"/>
              </w:rPr>
            </w:pPr>
            <w:r>
              <w:rPr>
                <w:rFonts w:eastAsia="Times New Roman"/>
                <w:color w:val="000000"/>
                <w:sz w:val="20"/>
                <w:szCs w:val="20"/>
                <w:lang w:eastAsia="de-DE"/>
              </w:rPr>
              <w:t>Gerste und</w:t>
            </w:r>
            <w:r w:rsidR="00335E5D" w:rsidRPr="00ED79DA">
              <w:rPr>
                <w:rFonts w:eastAsia="Times New Roman"/>
                <w:color w:val="000000"/>
                <w:sz w:val="20"/>
                <w:szCs w:val="20"/>
                <w:lang w:eastAsia="de-DE"/>
              </w:rPr>
              <w:t xml:space="preserve"> Maisstroh</w:t>
            </w:r>
          </w:p>
        </w:tc>
        <w:tc>
          <w:tcPr>
            <w:tcW w:w="2340" w:type="dxa"/>
            <w:shd w:val="clear" w:color="auto" w:fill="auto"/>
          </w:tcPr>
          <w:p w:rsidR="00335E5D" w:rsidRPr="00ED79DA" w:rsidRDefault="00335E5D" w:rsidP="00362A0B">
            <w:pPr>
              <w:rPr>
                <w:rFonts w:eastAsia="Times New Roman"/>
                <w:i/>
                <w:iCs/>
                <w:color w:val="000000"/>
                <w:sz w:val="20"/>
                <w:szCs w:val="20"/>
                <w:lang w:eastAsia="de-DE"/>
              </w:rPr>
            </w:pPr>
            <w:r w:rsidRPr="00ED79DA">
              <w:rPr>
                <w:rFonts w:eastAsia="Times New Roman"/>
                <w:i/>
                <w:iCs/>
                <w:color w:val="000000"/>
                <w:sz w:val="20"/>
                <w:szCs w:val="20"/>
                <w:lang w:eastAsia="de-DE"/>
              </w:rPr>
              <w:t>Lecanicillium lecanii</w:t>
            </w:r>
          </w:p>
        </w:tc>
      </w:tr>
      <w:tr w:rsidR="005746AF" w:rsidRPr="0099786D" w:rsidTr="00335E5D">
        <w:trPr>
          <w:jc w:val="right"/>
        </w:trPr>
        <w:tc>
          <w:tcPr>
            <w:tcW w:w="1276" w:type="dxa"/>
            <w:shd w:val="clear" w:color="auto" w:fill="auto"/>
            <w:vAlign w:val="center"/>
          </w:tcPr>
          <w:p w:rsidR="00335E5D" w:rsidRPr="0099786D" w:rsidRDefault="00335E5D" w:rsidP="00335E5D">
            <w:pPr>
              <w:spacing w:before="270" w:line="276" w:lineRule="auto"/>
              <w:rPr>
                <w:rFonts w:eastAsia="Times New Roman"/>
                <w:b/>
                <w:color w:val="0070C0"/>
              </w:rPr>
            </w:pPr>
            <w:r>
              <w:rPr>
                <w:rFonts w:eastAsia="Times New Roman"/>
                <w:b/>
                <w:color w:val="0070C0"/>
              </w:rPr>
              <w:t>4</w:t>
            </w:r>
          </w:p>
        </w:tc>
        <w:tc>
          <w:tcPr>
            <w:tcW w:w="2126" w:type="dxa"/>
            <w:shd w:val="clear" w:color="auto" w:fill="auto"/>
          </w:tcPr>
          <w:p w:rsidR="00335E5D" w:rsidRPr="00ED79DA" w:rsidRDefault="00335E5D" w:rsidP="00362A0B">
            <w:pPr>
              <w:rPr>
                <w:rFonts w:eastAsia="Times New Roman"/>
                <w:color w:val="000000"/>
                <w:sz w:val="20"/>
                <w:szCs w:val="20"/>
                <w:lang w:eastAsia="de-DE"/>
              </w:rPr>
            </w:pPr>
            <w:r w:rsidRPr="00ED79DA">
              <w:rPr>
                <w:rFonts w:eastAsia="Times New Roman"/>
                <w:color w:val="000000"/>
                <w:sz w:val="20"/>
                <w:szCs w:val="20"/>
                <w:lang w:eastAsia="de-DE"/>
              </w:rPr>
              <w:t>Lehmiger Sand</w:t>
            </w:r>
          </w:p>
        </w:tc>
        <w:tc>
          <w:tcPr>
            <w:tcW w:w="3544" w:type="dxa"/>
            <w:shd w:val="clear" w:color="auto" w:fill="auto"/>
          </w:tcPr>
          <w:p w:rsidR="00335E5D" w:rsidRPr="00ED79DA" w:rsidRDefault="00335E5D" w:rsidP="00362A0B">
            <w:pPr>
              <w:rPr>
                <w:rFonts w:eastAsia="Times New Roman"/>
                <w:color w:val="000000"/>
                <w:sz w:val="20"/>
                <w:szCs w:val="20"/>
                <w:lang w:eastAsia="de-DE"/>
              </w:rPr>
            </w:pPr>
            <w:r w:rsidRPr="00ED79DA">
              <w:rPr>
                <w:rFonts w:eastAsia="Times New Roman"/>
                <w:color w:val="000000"/>
                <w:sz w:val="20"/>
                <w:szCs w:val="20"/>
                <w:lang w:eastAsia="de-DE"/>
              </w:rPr>
              <w:t>Vermiculit</w:t>
            </w:r>
          </w:p>
        </w:tc>
        <w:tc>
          <w:tcPr>
            <w:tcW w:w="2340" w:type="dxa"/>
            <w:shd w:val="clear" w:color="auto" w:fill="auto"/>
          </w:tcPr>
          <w:p w:rsidR="00335E5D" w:rsidRPr="00ED79DA" w:rsidRDefault="00335E5D" w:rsidP="00362A0B">
            <w:pPr>
              <w:rPr>
                <w:rFonts w:eastAsia="Times New Roman"/>
                <w:i/>
                <w:iCs/>
                <w:color w:val="000000"/>
                <w:sz w:val="20"/>
                <w:szCs w:val="20"/>
                <w:lang w:eastAsia="de-DE"/>
              </w:rPr>
            </w:pPr>
            <w:r w:rsidRPr="00ED79DA">
              <w:rPr>
                <w:rFonts w:eastAsia="Times New Roman"/>
                <w:i/>
                <w:iCs/>
                <w:color w:val="000000"/>
                <w:sz w:val="20"/>
                <w:szCs w:val="20"/>
                <w:lang w:eastAsia="de-DE"/>
              </w:rPr>
              <w:t>Lecanicillium lecanii</w:t>
            </w:r>
          </w:p>
        </w:tc>
      </w:tr>
      <w:tr w:rsidR="005746AF" w:rsidRPr="0099786D" w:rsidTr="00335E5D">
        <w:trPr>
          <w:jc w:val="right"/>
        </w:trPr>
        <w:tc>
          <w:tcPr>
            <w:tcW w:w="1276" w:type="dxa"/>
            <w:shd w:val="clear" w:color="auto" w:fill="auto"/>
            <w:vAlign w:val="center"/>
          </w:tcPr>
          <w:p w:rsidR="00335E5D" w:rsidRDefault="00335E5D" w:rsidP="00335E5D">
            <w:pPr>
              <w:spacing w:before="270" w:line="276" w:lineRule="auto"/>
              <w:rPr>
                <w:rFonts w:eastAsia="Times New Roman"/>
                <w:b/>
                <w:color w:val="0070C0"/>
              </w:rPr>
            </w:pPr>
            <w:r>
              <w:rPr>
                <w:rFonts w:eastAsia="Times New Roman"/>
                <w:b/>
                <w:color w:val="0070C0"/>
              </w:rPr>
              <w:t>5</w:t>
            </w:r>
          </w:p>
        </w:tc>
        <w:tc>
          <w:tcPr>
            <w:tcW w:w="2126" w:type="dxa"/>
            <w:shd w:val="clear" w:color="auto" w:fill="auto"/>
          </w:tcPr>
          <w:p w:rsidR="00335E5D" w:rsidRPr="00ED79DA" w:rsidRDefault="00335E5D" w:rsidP="00362A0B">
            <w:pPr>
              <w:rPr>
                <w:rFonts w:eastAsia="Times New Roman"/>
                <w:color w:val="000000"/>
                <w:sz w:val="20"/>
                <w:szCs w:val="20"/>
                <w:lang w:eastAsia="de-DE"/>
              </w:rPr>
            </w:pPr>
            <w:r w:rsidRPr="00ED79DA">
              <w:rPr>
                <w:rFonts w:eastAsia="Times New Roman"/>
                <w:color w:val="000000"/>
                <w:sz w:val="20"/>
                <w:szCs w:val="20"/>
                <w:lang w:eastAsia="de-DE"/>
              </w:rPr>
              <w:t>Sandiger Lehm</w:t>
            </w:r>
          </w:p>
        </w:tc>
        <w:tc>
          <w:tcPr>
            <w:tcW w:w="3544" w:type="dxa"/>
            <w:shd w:val="clear" w:color="auto" w:fill="auto"/>
          </w:tcPr>
          <w:p w:rsidR="00335E5D" w:rsidRPr="00ED79DA" w:rsidRDefault="00335E5D" w:rsidP="00362A0B">
            <w:pPr>
              <w:rPr>
                <w:rFonts w:eastAsia="Times New Roman"/>
                <w:color w:val="000000"/>
                <w:sz w:val="20"/>
                <w:szCs w:val="20"/>
                <w:lang w:eastAsia="de-DE"/>
              </w:rPr>
            </w:pPr>
            <w:r w:rsidRPr="00ED79DA">
              <w:rPr>
                <w:rFonts w:eastAsia="Times New Roman"/>
                <w:color w:val="000000"/>
                <w:sz w:val="20"/>
                <w:szCs w:val="20"/>
                <w:lang w:eastAsia="de-DE"/>
              </w:rPr>
              <w:t>Gerste</w:t>
            </w:r>
          </w:p>
        </w:tc>
        <w:tc>
          <w:tcPr>
            <w:tcW w:w="2340" w:type="dxa"/>
            <w:shd w:val="clear" w:color="auto" w:fill="auto"/>
          </w:tcPr>
          <w:p w:rsidR="00335E5D" w:rsidRPr="00ED79DA" w:rsidRDefault="00335E5D" w:rsidP="00362A0B">
            <w:pPr>
              <w:rPr>
                <w:rFonts w:eastAsia="Times New Roman"/>
                <w:i/>
                <w:iCs/>
                <w:color w:val="000000"/>
                <w:sz w:val="20"/>
                <w:szCs w:val="20"/>
                <w:lang w:eastAsia="de-DE"/>
              </w:rPr>
            </w:pPr>
            <w:r w:rsidRPr="00ED79DA">
              <w:rPr>
                <w:rFonts w:eastAsia="Times New Roman"/>
                <w:i/>
                <w:iCs/>
                <w:color w:val="000000"/>
                <w:sz w:val="20"/>
                <w:szCs w:val="20"/>
                <w:lang w:eastAsia="de-DE"/>
              </w:rPr>
              <w:t>Lecanicilium lecanii</w:t>
            </w:r>
          </w:p>
        </w:tc>
      </w:tr>
      <w:tr w:rsidR="005746AF" w:rsidRPr="0099786D" w:rsidTr="00335E5D">
        <w:trPr>
          <w:jc w:val="right"/>
        </w:trPr>
        <w:tc>
          <w:tcPr>
            <w:tcW w:w="1276" w:type="dxa"/>
            <w:shd w:val="clear" w:color="auto" w:fill="auto"/>
            <w:vAlign w:val="center"/>
          </w:tcPr>
          <w:p w:rsidR="00335E5D" w:rsidRDefault="00335E5D" w:rsidP="00335E5D">
            <w:pPr>
              <w:spacing w:before="270" w:line="276" w:lineRule="auto"/>
              <w:rPr>
                <w:rFonts w:eastAsia="Times New Roman"/>
                <w:b/>
                <w:color w:val="0070C0"/>
              </w:rPr>
            </w:pPr>
            <w:r>
              <w:rPr>
                <w:rFonts w:eastAsia="Times New Roman"/>
                <w:b/>
                <w:color w:val="0070C0"/>
              </w:rPr>
              <w:t>6</w:t>
            </w:r>
          </w:p>
        </w:tc>
        <w:tc>
          <w:tcPr>
            <w:tcW w:w="2126" w:type="dxa"/>
            <w:shd w:val="clear" w:color="auto" w:fill="auto"/>
          </w:tcPr>
          <w:p w:rsidR="00335E5D" w:rsidRPr="00ED79DA" w:rsidRDefault="00335E5D" w:rsidP="00362A0B">
            <w:pPr>
              <w:rPr>
                <w:rFonts w:eastAsia="Times New Roman"/>
                <w:color w:val="000000"/>
                <w:sz w:val="20"/>
                <w:szCs w:val="20"/>
                <w:lang w:eastAsia="de-DE"/>
              </w:rPr>
            </w:pPr>
            <w:r w:rsidRPr="00ED79DA">
              <w:rPr>
                <w:rFonts w:eastAsia="Times New Roman"/>
                <w:color w:val="000000"/>
                <w:sz w:val="20"/>
                <w:szCs w:val="20"/>
                <w:lang w:eastAsia="de-DE"/>
              </w:rPr>
              <w:t>Sandiger Lehm</w:t>
            </w:r>
          </w:p>
        </w:tc>
        <w:tc>
          <w:tcPr>
            <w:tcW w:w="3544" w:type="dxa"/>
            <w:shd w:val="clear" w:color="auto" w:fill="auto"/>
          </w:tcPr>
          <w:p w:rsidR="00335E5D" w:rsidRPr="00ED79DA" w:rsidRDefault="00335E5D" w:rsidP="00362A0B">
            <w:pPr>
              <w:rPr>
                <w:rFonts w:eastAsia="Times New Roman"/>
                <w:color w:val="000000"/>
                <w:sz w:val="20"/>
                <w:szCs w:val="20"/>
                <w:lang w:eastAsia="de-DE"/>
              </w:rPr>
            </w:pPr>
            <w:r w:rsidRPr="00ED79DA">
              <w:rPr>
                <w:rFonts w:eastAsia="Times New Roman"/>
                <w:color w:val="000000"/>
                <w:sz w:val="20"/>
                <w:szCs w:val="20"/>
                <w:lang w:eastAsia="de-DE"/>
              </w:rPr>
              <w:t>Gerste</w:t>
            </w:r>
          </w:p>
        </w:tc>
        <w:tc>
          <w:tcPr>
            <w:tcW w:w="2340" w:type="dxa"/>
            <w:shd w:val="clear" w:color="auto" w:fill="auto"/>
          </w:tcPr>
          <w:p w:rsidR="00335E5D" w:rsidRPr="00ED79DA" w:rsidRDefault="00335E5D" w:rsidP="00362A0B">
            <w:pPr>
              <w:rPr>
                <w:rFonts w:eastAsia="Times New Roman"/>
                <w:i/>
                <w:iCs/>
                <w:color w:val="000000"/>
                <w:sz w:val="20"/>
                <w:szCs w:val="20"/>
                <w:lang w:eastAsia="de-DE"/>
              </w:rPr>
            </w:pPr>
            <w:r w:rsidRPr="00ED79DA">
              <w:rPr>
                <w:rFonts w:eastAsia="Times New Roman"/>
                <w:i/>
                <w:iCs/>
                <w:color w:val="000000"/>
                <w:sz w:val="20"/>
                <w:szCs w:val="20"/>
                <w:lang w:eastAsia="de-DE"/>
              </w:rPr>
              <w:t>Metarhizium brunneum</w:t>
            </w:r>
          </w:p>
        </w:tc>
      </w:tr>
      <w:tr w:rsidR="005746AF" w:rsidRPr="0099786D" w:rsidTr="00335E5D">
        <w:trPr>
          <w:jc w:val="right"/>
        </w:trPr>
        <w:tc>
          <w:tcPr>
            <w:tcW w:w="1276" w:type="dxa"/>
            <w:shd w:val="clear" w:color="auto" w:fill="auto"/>
            <w:vAlign w:val="center"/>
          </w:tcPr>
          <w:p w:rsidR="00335E5D" w:rsidRDefault="00335E5D" w:rsidP="00335E5D">
            <w:pPr>
              <w:spacing w:before="270" w:line="276" w:lineRule="auto"/>
              <w:rPr>
                <w:rFonts w:eastAsia="Times New Roman"/>
                <w:b/>
                <w:color w:val="0070C0"/>
              </w:rPr>
            </w:pPr>
            <w:r>
              <w:rPr>
                <w:rFonts w:eastAsia="Times New Roman"/>
                <w:b/>
                <w:color w:val="0070C0"/>
              </w:rPr>
              <w:t>7</w:t>
            </w:r>
          </w:p>
        </w:tc>
        <w:tc>
          <w:tcPr>
            <w:tcW w:w="2126" w:type="dxa"/>
            <w:shd w:val="clear" w:color="auto" w:fill="auto"/>
          </w:tcPr>
          <w:p w:rsidR="00335E5D" w:rsidRPr="00ED79DA" w:rsidRDefault="00335E5D" w:rsidP="00362A0B">
            <w:pPr>
              <w:rPr>
                <w:rFonts w:eastAsia="Times New Roman"/>
                <w:color w:val="000000"/>
                <w:sz w:val="20"/>
                <w:szCs w:val="20"/>
                <w:lang w:eastAsia="de-DE"/>
              </w:rPr>
            </w:pPr>
            <w:r w:rsidRPr="00ED79DA">
              <w:rPr>
                <w:rFonts w:eastAsia="Times New Roman"/>
                <w:color w:val="000000"/>
                <w:sz w:val="20"/>
                <w:szCs w:val="20"/>
                <w:lang w:eastAsia="de-DE"/>
              </w:rPr>
              <w:t>Sandiger Lehm</w:t>
            </w:r>
          </w:p>
        </w:tc>
        <w:tc>
          <w:tcPr>
            <w:tcW w:w="3544" w:type="dxa"/>
            <w:shd w:val="clear" w:color="auto" w:fill="auto"/>
          </w:tcPr>
          <w:p w:rsidR="00335E5D" w:rsidRPr="00ED79DA" w:rsidRDefault="00335E5D" w:rsidP="00362A0B">
            <w:pPr>
              <w:rPr>
                <w:rFonts w:eastAsia="Times New Roman"/>
                <w:color w:val="000000"/>
                <w:sz w:val="20"/>
                <w:szCs w:val="20"/>
                <w:lang w:eastAsia="de-DE"/>
              </w:rPr>
            </w:pPr>
            <w:r w:rsidRPr="00ED79DA">
              <w:rPr>
                <w:rFonts w:eastAsia="Times New Roman"/>
                <w:color w:val="000000"/>
                <w:sz w:val="20"/>
                <w:szCs w:val="20"/>
                <w:lang w:eastAsia="de-DE"/>
              </w:rPr>
              <w:t>Gerste und Maisstroh</w:t>
            </w:r>
          </w:p>
        </w:tc>
        <w:tc>
          <w:tcPr>
            <w:tcW w:w="2340" w:type="dxa"/>
            <w:shd w:val="clear" w:color="auto" w:fill="auto"/>
          </w:tcPr>
          <w:p w:rsidR="00335E5D" w:rsidRPr="00ED79DA" w:rsidRDefault="00335E5D" w:rsidP="00362A0B">
            <w:pPr>
              <w:rPr>
                <w:rFonts w:eastAsia="Times New Roman"/>
                <w:i/>
                <w:iCs/>
                <w:color w:val="000000"/>
                <w:sz w:val="20"/>
                <w:szCs w:val="20"/>
                <w:lang w:eastAsia="de-DE"/>
              </w:rPr>
            </w:pPr>
            <w:r w:rsidRPr="00ED79DA">
              <w:rPr>
                <w:rFonts w:eastAsia="Times New Roman"/>
                <w:i/>
                <w:iCs/>
                <w:color w:val="000000"/>
                <w:sz w:val="20"/>
                <w:szCs w:val="20"/>
                <w:lang w:eastAsia="de-DE"/>
              </w:rPr>
              <w:t>Lecanicillium lecanii</w:t>
            </w:r>
          </w:p>
        </w:tc>
      </w:tr>
      <w:tr w:rsidR="005746AF" w:rsidRPr="0099786D" w:rsidTr="00335E5D">
        <w:trPr>
          <w:jc w:val="right"/>
        </w:trPr>
        <w:tc>
          <w:tcPr>
            <w:tcW w:w="1276" w:type="dxa"/>
            <w:shd w:val="clear" w:color="auto" w:fill="auto"/>
            <w:vAlign w:val="center"/>
          </w:tcPr>
          <w:p w:rsidR="00335E5D" w:rsidRDefault="00335E5D" w:rsidP="00335E5D">
            <w:pPr>
              <w:spacing w:before="270" w:line="276" w:lineRule="auto"/>
              <w:rPr>
                <w:rFonts w:eastAsia="Times New Roman"/>
                <w:b/>
                <w:color w:val="0070C0"/>
              </w:rPr>
            </w:pPr>
            <w:r>
              <w:rPr>
                <w:rFonts w:eastAsia="Times New Roman"/>
                <w:b/>
                <w:color w:val="0070C0"/>
              </w:rPr>
              <w:t>8</w:t>
            </w:r>
          </w:p>
        </w:tc>
        <w:tc>
          <w:tcPr>
            <w:tcW w:w="2126" w:type="dxa"/>
            <w:shd w:val="clear" w:color="auto" w:fill="auto"/>
          </w:tcPr>
          <w:p w:rsidR="00335E5D" w:rsidRPr="00ED79DA" w:rsidRDefault="00335E5D" w:rsidP="00362A0B">
            <w:pPr>
              <w:rPr>
                <w:rFonts w:eastAsia="Times New Roman"/>
                <w:color w:val="000000"/>
                <w:sz w:val="20"/>
                <w:szCs w:val="20"/>
                <w:lang w:eastAsia="de-DE"/>
              </w:rPr>
            </w:pPr>
            <w:r w:rsidRPr="00ED79DA">
              <w:rPr>
                <w:rFonts w:eastAsia="Times New Roman"/>
                <w:color w:val="000000"/>
                <w:sz w:val="20"/>
                <w:szCs w:val="20"/>
                <w:lang w:eastAsia="de-DE"/>
              </w:rPr>
              <w:t>Sandiger Lehm</w:t>
            </w:r>
          </w:p>
        </w:tc>
        <w:tc>
          <w:tcPr>
            <w:tcW w:w="3544" w:type="dxa"/>
            <w:shd w:val="clear" w:color="auto" w:fill="auto"/>
          </w:tcPr>
          <w:p w:rsidR="00335E5D" w:rsidRPr="00ED79DA" w:rsidRDefault="00335E5D" w:rsidP="00362A0B">
            <w:pPr>
              <w:rPr>
                <w:rFonts w:eastAsia="Times New Roman"/>
                <w:color w:val="000000"/>
                <w:sz w:val="20"/>
                <w:szCs w:val="20"/>
                <w:lang w:eastAsia="de-DE"/>
              </w:rPr>
            </w:pPr>
            <w:r w:rsidRPr="00ED79DA">
              <w:rPr>
                <w:rFonts w:eastAsia="Times New Roman"/>
                <w:color w:val="000000"/>
                <w:sz w:val="20"/>
                <w:szCs w:val="20"/>
                <w:lang w:eastAsia="de-DE"/>
              </w:rPr>
              <w:t>Vermiculit</w:t>
            </w:r>
          </w:p>
        </w:tc>
        <w:tc>
          <w:tcPr>
            <w:tcW w:w="2340" w:type="dxa"/>
            <w:shd w:val="clear" w:color="auto" w:fill="auto"/>
          </w:tcPr>
          <w:p w:rsidR="00335E5D" w:rsidRPr="00ED79DA" w:rsidRDefault="00335E5D" w:rsidP="00362A0B">
            <w:pPr>
              <w:rPr>
                <w:rFonts w:eastAsia="Times New Roman"/>
                <w:i/>
                <w:iCs/>
                <w:color w:val="000000"/>
                <w:sz w:val="20"/>
                <w:szCs w:val="20"/>
                <w:lang w:eastAsia="de-DE"/>
              </w:rPr>
            </w:pPr>
            <w:r w:rsidRPr="00ED79DA">
              <w:rPr>
                <w:rFonts w:eastAsia="Times New Roman"/>
                <w:i/>
                <w:iCs/>
                <w:color w:val="000000"/>
                <w:sz w:val="20"/>
                <w:szCs w:val="20"/>
                <w:lang w:eastAsia="de-DE"/>
              </w:rPr>
              <w:t>Lecanicillium lecanii</w:t>
            </w:r>
          </w:p>
        </w:tc>
      </w:tr>
    </w:tbl>
    <w:p w:rsidR="00661994" w:rsidRDefault="00661994" w:rsidP="00A80122"/>
    <w:p w:rsidR="00ED7BCB" w:rsidRDefault="00871DEE" w:rsidP="00ED7BCB">
      <w:pPr>
        <w:pStyle w:val="Beschriftung"/>
      </w:pPr>
      <w:bookmarkStart w:id="371" w:name="_Toc7715472"/>
      <w:r w:rsidRPr="000665E2">
        <w:rPr>
          <w:noProof/>
          <w:sz w:val="22"/>
          <w:szCs w:val="22"/>
          <w:lang w:eastAsia="de-AT"/>
        </w:rPr>
        <w:drawing>
          <wp:anchor distT="0" distB="0" distL="114300" distR="114300" simplePos="0" relativeHeight="251870720" behindDoc="1" locked="0" layoutInCell="1" allowOverlap="1" wp14:anchorId="7802CED3" wp14:editId="1EC576BB">
            <wp:simplePos x="0" y="0"/>
            <wp:positionH relativeFrom="margin">
              <wp:align>right</wp:align>
            </wp:positionH>
            <wp:positionV relativeFrom="paragraph">
              <wp:posOffset>0</wp:posOffset>
            </wp:positionV>
            <wp:extent cx="4313555" cy="4975225"/>
            <wp:effectExtent l="0" t="0" r="0" b="0"/>
            <wp:wrapTight wrapText="bothSides">
              <wp:wrapPolygon edited="0">
                <wp:start x="0" y="0"/>
                <wp:lineTo x="0" y="21504"/>
                <wp:lineTo x="21463" y="21504"/>
                <wp:lineTo x="21463" y="0"/>
                <wp:lineTo x="0" y="0"/>
              </wp:wrapPolygon>
            </wp:wrapTight>
            <wp:docPr id="51" name="Picture 3" title="Überwinterungsversu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313555" cy="497522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254797">
        <w:rPr>
          <w:noProof/>
          <w:lang w:eastAsia="de-AT"/>
        </w:rPr>
        <w:drawing>
          <wp:anchor distT="0" distB="0" distL="114300" distR="114300" simplePos="0" relativeHeight="251884032" behindDoc="1" locked="0" layoutInCell="1" allowOverlap="1" wp14:anchorId="51719376" wp14:editId="0D32FC39">
            <wp:simplePos x="0" y="0"/>
            <wp:positionH relativeFrom="column">
              <wp:posOffset>-127635</wp:posOffset>
            </wp:positionH>
            <wp:positionV relativeFrom="paragraph">
              <wp:posOffset>0</wp:posOffset>
            </wp:positionV>
            <wp:extent cx="1311910" cy="8382000"/>
            <wp:effectExtent l="0" t="0" r="2540" b="0"/>
            <wp:wrapTight wrapText="bothSides">
              <wp:wrapPolygon edited="0">
                <wp:start x="0" y="0"/>
                <wp:lineTo x="0" y="21551"/>
                <wp:lineTo x="627" y="21551"/>
                <wp:lineTo x="627" y="21207"/>
                <wp:lineTo x="10664" y="21207"/>
                <wp:lineTo x="21328" y="20815"/>
                <wp:lineTo x="21328" y="884"/>
                <wp:lineTo x="6587" y="785"/>
                <wp:lineTo x="21328" y="245"/>
                <wp:lineTo x="21328" y="0"/>
                <wp:lineTo x="0" y="0"/>
              </wp:wrapPolygon>
            </wp:wrapTight>
            <wp:docPr id="29" name="Grafik 29" title="Überwinterungsvers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11910" cy="838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7BCB" w:rsidRPr="00ED7BCB">
        <w:t xml:space="preserve"> </w:t>
      </w:r>
      <w:r w:rsidR="00ED7BCB">
        <w:t xml:space="preserve">Abbildung </w:t>
      </w:r>
      <w:fldSimple w:instr=" SEQ Abbildung \* ARABIC ">
        <w:r w:rsidR="00ED7BCB">
          <w:rPr>
            <w:noProof/>
          </w:rPr>
          <w:t>84</w:t>
        </w:r>
      </w:fldSimple>
      <w:r w:rsidR="00ED7BCB">
        <w:rPr>
          <w:noProof/>
        </w:rPr>
        <w:t xml:space="preserve"> (oben)</w:t>
      </w:r>
      <w:r w:rsidR="00ED7BCB">
        <w:t>:</w:t>
      </w:r>
      <w:r w:rsidR="00ED7BCB" w:rsidRPr="0099786D">
        <w:t xml:space="preserve"> </w:t>
      </w:r>
      <w:r w:rsidR="00ED7BCB">
        <w:t>Kunststoffrohre,</w:t>
      </w:r>
      <w:r w:rsidR="00ED7BCB" w:rsidRPr="00ED7BCB">
        <w:t xml:space="preserve"> welche nach oben und unten offen waren, </w:t>
      </w:r>
      <w:r w:rsidR="00ED7BCB">
        <w:t xml:space="preserve">wurden auf dem Versuchsfeld in Wien Donaustadt </w:t>
      </w:r>
      <w:r w:rsidR="00ED7BCB" w:rsidRPr="00ED7BCB">
        <w:t>eingegraben. Anschließend wurden sie mit zwei verschiedenen Böden befüllt, welche zuvor mit Pilzgerste, Pilzgerste-Maisstroh-Gemisch oder Vermiculitsubstrat vermischt worden waren</w:t>
      </w:r>
      <w:r w:rsidR="00ED7BCB">
        <w:t>.</w:t>
      </w:r>
      <w:bookmarkEnd w:id="371"/>
    </w:p>
    <w:p w:rsidR="00ED7BCB" w:rsidRDefault="00ED7BCB" w:rsidP="00A80122"/>
    <w:p w:rsidR="00ED7BCB" w:rsidRDefault="00ED7BCB" w:rsidP="00ED7BCB">
      <w:pPr>
        <w:pStyle w:val="Beschriftung"/>
      </w:pPr>
      <w:bookmarkStart w:id="372" w:name="_Toc7715473"/>
      <w:r>
        <w:t xml:space="preserve">Abbildung </w:t>
      </w:r>
      <w:fldSimple w:instr=" SEQ Abbildung \* ARABIC ">
        <w:r>
          <w:rPr>
            <w:noProof/>
          </w:rPr>
          <w:t>85</w:t>
        </w:r>
      </w:fldSimple>
      <w:r>
        <w:t>(links): Versuchsplan des Überwinterungsversuches in Wien, Donaustadt.</w:t>
      </w:r>
      <w:bookmarkEnd w:id="372"/>
    </w:p>
    <w:p w:rsidR="005746AF" w:rsidRDefault="005746AF">
      <w:pPr>
        <w:rPr>
          <w:color w:val="000000"/>
        </w:rPr>
      </w:pPr>
      <w:r>
        <w:br w:type="page"/>
      </w:r>
    </w:p>
    <w:p w:rsidR="00AB154F" w:rsidRDefault="00AB154F" w:rsidP="00AB154F">
      <w:pPr>
        <w:pStyle w:val="11Unterkapitel"/>
        <w:rPr>
          <w:lang w:val="de-DE" w:eastAsia="de-AT"/>
        </w:rPr>
      </w:pPr>
      <w:bookmarkStart w:id="373" w:name="_Toc7715640"/>
      <w:r>
        <w:rPr>
          <w:lang w:val="de-DE" w:eastAsia="de-AT"/>
        </w:rPr>
        <w:t>Probennahmen und Analyseergebnisse</w:t>
      </w:r>
      <w:bookmarkEnd w:id="373"/>
    </w:p>
    <w:p w:rsidR="00AB154F" w:rsidRDefault="00AB154F" w:rsidP="00A80122">
      <w:pPr>
        <w:jc w:val="both"/>
        <w:rPr>
          <w:rFonts w:eastAsia="Times New Roman"/>
          <w:color w:val="000000"/>
          <w:sz w:val="22"/>
          <w:szCs w:val="22"/>
          <w:lang w:val="de-DE" w:eastAsia="de-AT"/>
        </w:rPr>
      </w:pPr>
    </w:p>
    <w:p w:rsidR="00A80122" w:rsidRDefault="00A80122" w:rsidP="00A80122">
      <w:pPr>
        <w:jc w:val="both"/>
        <w:rPr>
          <w:rFonts w:eastAsia="Times New Roman"/>
          <w:color w:val="000000"/>
          <w:sz w:val="22"/>
          <w:szCs w:val="22"/>
          <w:lang w:val="de-DE" w:eastAsia="de-AT"/>
        </w:rPr>
      </w:pPr>
      <w:r w:rsidRPr="00F67916">
        <w:rPr>
          <w:rFonts w:eastAsia="Times New Roman"/>
          <w:color w:val="000000"/>
          <w:sz w:val="22"/>
          <w:szCs w:val="22"/>
          <w:lang w:val="de-DE" w:eastAsia="de-AT"/>
        </w:rPr>
        <w:t xml:space="preserve">Die erste Probennahme erfolgte </w:t>
      </w:r>
      <w:r w:rsidRPr="00ED7BCB">
        <w:rPr>
          <w:rFonts w:eastAsia="Times New Roman"/>
          <w:color w:val="000000"/>
          <w:sz w:val="22"/>
          <w:szCs w:val="22"/>
          <w:lang w:val="de-DE" w:eastAsia="de-AT"/>
        </w:rPr>
        <w:t>im Dezember 2017,</w:t>
      </w:r>
      <w:r w:rsidR="00ED7BCB">
        <w:rPr>
          <w:rFonts w:eastAsia="Times New Roman"/>
          <w:color w:val="000000"/>
          <w:sz w:val="22"/>
          <w:szCs w:val="22"/>
          <w:lang w:val="de-DE" w:eastAsia="de-AT"/>
        </w:rPr>
        <w:t xml:space="preserve"> nur wenige Wochen nach dem </w:t>
      </w:r>
      <w:r w:rsidRPr="00F67916">
        <w:rPr>
          <w:rFonts w:eastAsia="Times New Roman"/>
          <w:color w:val="000000"/>
          <w:sz w:val="22"/>
          <w:szCs w:val="22"/>
          <w:lang w:val="de-DE" w:eastAsia="de-AT"/>
        </w:rPr>
        <w:t xml:space="preserve">Aufbau des Versuchs. An diesem Termin wurde eine größere Menge an Probenmaterial gezogen, welches im Labor bei 7°C weiter gelagert wurde. Die Proben waren, um Austrocknung zu verhindern, in Plastiksäcken mit ausreichend Luft verpackt. Nach dem Frost im März 2018 wurden im Freiland erneut Proben gezogen und darin erhaltenen </w:t>
      </w:r>
      <w:r w:rsidRPr="000E7FDF">
        <w:rPr>
          <w:rFonts w:eastAsia="Times New Roman"/>
          <w:color w:val="000000"/>
          <w:sz w:val="22"/>
          <w:szCs w:val="22"/>
          <w:lang w:val="de-DE" w:eastAsia="de-AT"/>
        </w:rPr>
        <w:t>Pilzmengen ermittelt. Zu diesem Zeitpunkt wurden auch die im Labor gelagerten Proben erneut analysiert (Abb</w:t>
      </w:r>
      <w:r w:rsidR="003B50DF" w:rsidRPr="000E7FDF">
        <w:rPr>
          <w:rFonts w:eastAsia="Times New Roman"/>
          <w:color w:val="000000"/>
          <w:sz w:val="22"/>
          <w:szCs w:val="22"/>
          <w:lang w:val="de-DE" w:eastAsia="de-AT"/>
        </w:rPr>
        <w:t>ildung 86</w:t>
      </w:r>
      <w:r w:rsidRPr="000E7FDF">
        <w:rPr>
          <w:rFonts w:eastAsia="Times New Roman"/>
          <w:color w:val="000000"/>
          <w:sz w:val="22"/>
          <w:szCs w:val="22"/>
          <w:lang w:val="de-DE" w:eastAsia="de-AT"/>
        </w:rPr>
        <w:t>).</w:t>
      </w:r>
      <w:r>
        <w:rPr>
          <w:rFonts w:eastAsia="Times New Roman"/>
          <w:color w:val="000000"/>
          <w:sz w:val="22"/>
          <w:szCs w:val="22"/>
          <w:lang w:val="de-DE" w:eastAsia="de-AT"/>
        </w:rPr>
        <w:t xml:space="preserve"> Und die letzte Probennahme wurde im Juni 2018 durchgeführt. </w:t>
      </w:r>
    </w:p>
    <w:p w:rsidR="00A80122" w:rsidRDefault="00A80122" w:rsidP="00A80122">
      <w:pPr>
        <w:jc w:val="both"/>
        <w:rPr>
          <w:rFonts w:eastAsia="Times New Roman"/>
          <w:color w:val="000000"/>
          <w:sz w:val="22"/>
          <w:szCs w:val="22"/>
          <w:lang w:val="de-DE" w:eastAsia="de-AT"/>
        </w:rPr>
      </w:pPr>
    </w:p>
    <w:p w:rsidR="00A80122" w:rsidRDefault="00A80122" w:rsidP="00A80122">
      <w:pPr>
        <w:jc w:val="center"/>
        <w:rPr>
          <w:rFonts w:eastAsia="Times New Roman"/>
          <w:color w:val="000000"/>
          <w:sz w:val="22"/>
          <w:szCs w:val="22"/>
          <w:lang w:val="de-DE" w:eastAsia="de-AT"/>
        </w:rPr>
      </w:pPr>
      <w:r>
        <w:rPr>
          <w:rFonts w:ascii="Arial" w:eastAsia="Times New Roman" w:hAnsi="Arial"/>
          <w:noProof/>
          <w:sz w:val="22"/>
          <w:szCs w:val="20"/>
          <w:lang w:eastAsia="de-AT"/>
        </w:rPr>
        <w:drawing>
          <wp:inline distT="0" distB="0" distL="0" distR="0" wp14:anchorId="1868A400" wp14:editId="01685318">
            <wp:extent cx="4860000" cy="2520000"/>
            <wp:effectExtent l="0" t="0" r="17145" b="13970"/>
            <wp:docPr id="46" name="Diagramm 46" title="Diagramm"/>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A80122" w:rsidRDefault="00A80122" w:rsidP="00A80122">
      <w:pPr>
        <w:jc w:val="center"/>
        <w:rPr>
          <w:rFonts w:eastAsia="Times New Roman"/>
          <w:color w:val="000000"/>
          <w:sz w:val="22"/>
          <w:szCs w:val="22"/>
          <w:lang w:val="de-DE" w:eastAsia="de-AT"/>
        </w:rPr>
      </w:pPr>
    </w:p>
    <w:p w:rsidR="003B50DF" w:rsidRDefault="003B50DF" w:rsidP="003B50DF">
      <w:pPr>
        <w:pStyle w:val="Beschriftung"/>
      </w:pPr>
      <w:bookmarkStart w:id="374" w:name="_Toc7715474"/>
      <w:r>
        <w:t xml:space="preserve">Abbildung </w:t>
      </w:r>
      <w:fldSimple w:instr=" SEQ Abbildung \* ARABIC ">
        <w:r>
          <w:rPr>
            <w:noProof/>
          </w:rPr>
          <w:t>86</w:t>
        </w:r>
      </w:fldSimple>
      <w:r>
        <w:t>:</w:t>
      </w:r>
      <w:r w:rsidRPr="0099786D">
        <w:t xml:space="preserve"> </w:t>
      </w:r>
      <w:r>
        <w:t>Vergleich der mittleren Anzahl kolonienbildender Einheiten pro Gramm Erde von 6. Dezember 2018 bis 12. März 2018 im Labor und im Freiland gelagertem Boden in Abhängigkeit von der Variante.</w:t>
      </w:r>
      <w:bookmarkEnd w:id="374"/>
    </w:p>
    <w:p w:rsidR="00AB154F" w:rsidRDefault="00AB154F" w:rsidP="00A80122">
      <w:pPr>
        <w:jc w:val="center"/>
        <w:rPr>
          <w:rFonts w:eastAsia="Times New Roman"/>
          <w:sz w:val="20"/>
          <w:szCs w:val="20"/>
          <w:lang w:eastAsia="de-AT"/>
        </w:rPr>
      </w:pPr>
    </w:p>
    <w:p w:rsidR="00A80122" w:rsidRPr="00BA0E61" w:rsidRDefault="00A80122" w:rsidP="00BA0E61">
      <w:pPr>
        <w:tabs>
          <w:tab w:val="left" w:pos="960"/>
        </w:tabs>
        <w:jc w:val="both"/>
        <w:rPr>
          <w:rFonts w:eastAsia="Times New Roman"/>
          <w:sz w:val="22"/>
          <w:szCs w:val="22"/>
          <w:lang w:val="de-DE" w:eastAsia="de-AT"/>
        </w:rPr>
      </w:pPr>
      <w:r>
        <w:rPr>
          <w:rFonts w:eastAsia="Times New Roman"/>
          <w:sz w:val="22"/>
          <w:szCs w:val="22"/>
          <w:lang w:val="de-DE" w:eastAsia="de-AT"/>
        </w:rPr>
        <w:t xml:space="preserve">Im März 2018 </w:t>
      </w:r>
      <w:r w:rsidRPr="00F67916">
        <w:rPr>
          <w:rFonts w:eastAsia="Times New Roman"/>
          <w:sz w:val="22"/>
          <w:szCs w:val="22"/>
          <w:lang w:val="de-DE" w:eastAsia="de-AT"/>
        </w:rPr>
        <w:t xml:space="preserve">unterschied sich </w:t>
      </w:r>
      <w:r>
        <w:rPr>
          <w:rFonts w:eastAsia="Times New Roman"/>
          <w:sz w:val="22"/>
          <w:szCs w:val="22"/>
          <w:lang w:val="de-DE" w:eastAsia="de-AT"/>
        </w:rPr>
        <w:t>i</w:t>
      </w:r>
      <w:r w:rsidRPr="00F67916">
        <w:rPr>
          <w:rFonts w:eastAsia="Times New Roman"/>
          <w:sz w:val="22"/>
          <w:szCs w:val="22"/>
          <w:lang w:val="de-DE" w:eastAsia="de-AT"/>
        </w:rPr>
        <w:t xml:space="preserve">n den Varianten 1-4 (Lehmiger Sand) die Abnahme der KBE im </w:t>
      </w:r>
      <w:r w:rsidRPr="000E7FDF">
        <w:rPr>
          <w:rFonts w:eastAsia="Times New Roman"/>
          <w:sz w:val="22"/>
          <w:szCs w:val="22"/>
          <w:lang w:val="de-DE" w:eastAsia="de-AT"/>
        </w:rPr>
        <w:t>Freiland trotz Bodenfrost kaum von den Ergebnissen der durchgehend bei 7°C gelagerten Proben. Bei den Varianten 5-8 (Sandiger Lehm) war die Abnahme der Pilze im Labor hingegen deutlich geringer</w:t>
      </w:r>
      <w:r w:rsidR="003B50DF" w:rsidRPr="000E7FDF">
        <w:rPr>
          <w:rFonts w:eastAsia="Times New Roman"/>
          <w:sz w:val="22"/>
          <w:szCs w:val="22"/>
          <w:lang w:val="de-DE" w:eastAsia="de-AT"/>
        </w:rPr>
        <w:t xml:space="preserve"> </w:t>
      </w:r>
      <w:r w:rsidR="003B50DF" w:rsidRPr="000E7FDF">
        <w:rPr>
          <w:rFonts w:eastAsia="Times New Roman"/>
          <w:color w:val="000000"/>
          <w:sz w:val="22"/>
          <w:szCs w:val="22"/>
          <w:lang w:val="de-DE" w:eastAsia="de-AT"/>
        </w:rPr>
        <w:t>(Abbildung 86)</w:t>
      </w:r>
      <w:r w:rsidRPr="000E7FDF">
        <w:rPr>
          <w:rFonts w:eastAsia="Times New Roman"/>
          <w:sz w:val="22"/>
          <w:szCs w:val="22"/>
          <w:lang w:val="de-DE" w:eastAsia="de-AT"/>
        </w:rPr>
        <w:t>.</w:t>
      </w:r>
      <w:r w:rsidRPr="00F67916">
        <w:rPr>
          <w:rFonts w:eastAsia="Times New Roman"/>
          <w:sz w:val="22"/>
          <w:szCs w:val="22"/>
          <w:lang w:val="de-DE" w:eastAsia="de-AT"/>
        </w:rPr>
        <w:t xml:space="preserve"> Dieses Ergebnis ist vermutlich auf die geringere Bodenfeuchte im Lehmigen Sand (11,6%) gegenüber dem Sandigen Lehm im Labor (21%) zurückzuführen. Auch bei den im Freiland gezogenen Proben unterschieden sich die beiden Bodenarten zum Zeitpunkt der Probennahme hinsichtlich der Bodenfeuchte deutlich (Lehmiger Sand 12,8%; Sandiger Lehm </w:t>
      </w:r>
      <w:r>
        <w:rPr>
          <w:rFonts w:eastAsia="Times New Roman"/>
          <w:sz w:val="22"/>
          <w:szCs w:val="22"/>
          <w:lang w:val="de-DE" w:eastAsia="de-AT"/>
        </w:rPr>
        <w:t>21,1%),</w:t>
      </w:r>
      <w:r w:rsidRPr="00F67916">
        <w:rPr>
          <w:rFonts w:eastAsia="Times New Roman"/>
          <w:sz w:val="22"/>
          <w:szCs w:val="22"/>
          <w:lang w:val="de-DE" w:eastAsia="de-AT"/>
        </w:rPr>
        <w:t xml:space="preserve"> jedoch spielte hier aufgrund regelmäßiger Niederschläge die Wasserhaltekapazität der Böden für die Überdauerung der Pilze vermutlich eine deutlich geringere Rolle. Als Trägermaterial eignete sich Gerste für </w:t>
      </w:r>
      <w:r w:rsidRPr="00F67916">
        <w:rPr>
          <w:rFonts w:eastAsia="Times New Roman"/>
          <w:i/>
          <w:sz w:val="22"/>
          <w:szCs w:val="22"/>
          <w:lang w:val="de-DE" w:eastAsia="de-AT"/>
        </w:rPr>
        <w:t>L. lecanii</w:t>
      </w:r>
      <w:r w:rsidRPr="00F67916">
        <w:rPr>
          <w:rFonts w:eastAsia="Times New Roman"/>
          <w:sz w:val="22"/>
          <w:szCs w:val="22"/>
          <w:lang w:val="de-DE" w:eastAsia="de-AT"/>
        </w:rPr>
        <w:t xml:space="preserve"> deutlich besser als Vermiculit. </w:t>
      </w:r>
      <w:r w:rsidRPr="00F67916">
        <w:rPr>
          <w:rFonts w:eastAsia="Times New Roman"/>
          <w:i/>
          <w:sz w:val="22"/>
          <w:szCs w:val="22"/>
          <w:lang w:val="de-DE" w:eastAsia="de-AT"/>
        </w:rPr>
        <w:t>M. brunneum</w:t>
      </w:r>
      <w:r w:rsidRPr="00F67916">
        <w:rPr>
          <w:rFonts w:eastAsia="Times New Roman"/>
          <w:sz w:val="22"/>
          <w:szCs w:val="22"/>
          <w:lang w:val="de-DE" w:eastAsia="de-AT"/>
        </w:rPr>
        <w:t xml:space="preserve"> und </w:t>
      </w:r>
      <w:r w:rsidRPr="00F67916">
        <w:rPr>
          <w:rFonts w:eastAsia="Times New Roman"/>
          <w:i/>
          <w:sz w:val="22"/>
          <w:szCs w:val="22"/>
          <w:lang w:val="de-DE" w:eastAsia="de-AT"/>
        </w:rPr>
        <w:t>L. lecanii</w:t>
      </w:r>
      <w:r w:rsidRPr="00F67916">
        <w:rPr>
          <w:rFonts w:eastAsia="Times New Roman"/>
          <w:sz w:val="22"/>
          <w:szCs w:val="22"/>
          <w:lang w:val="de-DE" w:eastAsia="de-AT"/>
        </w:rPr>
        <w:t xml:space="preserve"> zeigten </w:t>
      </w:r>
      <w:r>
        <w:rPr>
          <w:rFonts w:eastAsia="Times New Roman"/>
          <w:sz w:val="22"/>
          <w:szCs w:val="22"/>
          <w:lang w:val="de-DE" w:eastAsia="de-AT"/>
        </w:rPr>
        <w:t xml:space="preserve">zu diesem Zeitpunkt </w:t>
      </w:r>
      <w:r w:rsidRPr="00F67916">
        <w:rPr>
          <w:rFonts w:eastAsia="Times New Roman"/>
          <w:sz w:val="22"/>
          <w:szCs w:val="22"/>
          <w:lang w:val="de-DE" w:eastAsia="de-AT"/>
        </w:rPr>
        <w:t xml:space="preserve">keine signifikanten Unterschiede hinsichtlich ihrer Persistenz im Boden. </w:t>
      </w:r>
    </w:p>
    <w:p w:rsidR="00A80122" w:rsidRDefault="00A80122" w:rsidP="00A80122">
      <w:pPr>
        <w:jc w:val="center"/>
        <w:rPr>
          <w:rFonts w:eastAsia="Times New Roman"/>
          <w:sz w:val="20"/>
          <w:szCs w:val="20"/>
          <w:lang w:eastAsia="de-AT"/>
        </w:rPr>
      </w:pPr>
      <w:r>
        <w:rPr>
          <w:noProof/>
          <w:lang w:eastAsia="de-AT"/>
        </w:rPr>
        <w:drawing>
          <wp:inline distT="0" distB="0" distL="0" distR="0" wp14:anchorId="1A4870F3" wp14:editId="6821DAB7">
            <wp:extent cx="4860000" cy="2520000"/>
            <wp:effectExtent l="0" t="0" r="17145" b="13970"/>
            <wp:docPr id="47" name="Diagramm 47" title="Vergleich der Überdauerungsfähigkeit von Pilzen im Freiland und im Labo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3B50DF" w:rsidRDefault="003B50DF" w:rsidP="003B50DF">
      <w:pPr>
        <w:pStyle w:val="Beschriftung"/>
      </w:pPr>
      <w:bookmarkStart w:id="375" w:name="_Toc7715475"/>
      <w:r>
        <w:t xml:space="preserve">Abbildung </w:t>
      </w:r>
      <w:fldSimple w:instr=" SEQ Abbildung \* ARABIC ">
        <w:r>
          <w:rPr>
            <w:noProof/>
          </w:rPr>
          <w:t>87</w:t>
        </w:r>
      </w:fldSimple>
      <w:r>
        <w:t>:</w:t>
      </w:r>
      <w:r w:rsidRPr="0099786D">
        <w:t xml:space="preserve"> </w:t>
      </w:r>
      <w:r>
        <w:t>Vergleich der mittleren Anzahl kolonienbildender Einheiten pro Gramm Erde von 6. Dezember 2018 bis 7. Juni 2018 im Labor und im Freiland gelagertem Boden in Abhängigkeit von der Variante.</w:t>
      </w:r>
      <w:bookmarkEnd w:id="375"/>
    </w:p>
    <w:p w:rsidR="003B50DF" w:rsidRDefault="003B50DF" w:rsidP="00A80122">
      <w:pPr>
        <w:jc w:val="center"/>
        <w:rPr>
          <w:rFonts w:eastAsia="Times New Roman"/>
          <w:sz w:val="20"/>
          <w:szCs w:val="20"/>
          <w:lang w:eastAsia="de-AT"/>
        </w:rPr>
      </w:pPr>
    </w:p>
    <w:p w:rsidR="00A80122" w:rsidRPr="006B2F35" w:rsidRDefault="00A80122" w:rsidP="00A80122">
      <w:pPr>
        <w:jc w:val="both"/>
        <w:rPr>
          <w:rFonts w:eastAsia="Times New Roman"/>
          <w:color w:val="000000"/>
          <w:sz w:val="22"/>
          <w:szCs w:val="22"/>
          <w:lang w:val="de-DE" w:eastAsia="de-AT"/>
        </w:rPr>
      </w:pPr>
      <w:r>
        <w:rPr>
          <w:rFonts w:eastAsia="Times New Roman"/>
          <w:color w:val="000000"/>
          <w:sz w:val="22"/>
          <w:szCs w:val="22"/>
          <w:lang w:val="de-DE" w:eastAsia="de-AT"/>
        </w:rPr>
        <w:t>Im Zeitraum März bis Juni 2018 konnte in den Varianten 2 und 6 (</w:t>
      </w:r>
      <w:r w:rsidRPr="00941D60">
        <w:rPr>
          <w:rFonts w:eastAsia="Times New Roman"/>
          <w:i/>
          <w:color w:val="000000"/>
          <w:sz w:val="22"/>
          <w:szCs w:val="22"/>
          <w:lang w:val="de-DE" w:eastAsia="de-AT"/>
        </w:rPr>
        <w:t>M. brunneum</w:t>
      </w:r>
      <w:r>
        <w:rPr>
          <w:rFonts w:eastAsia="Times New Roman"/>
          <w:color w:val="000000"/>
          <w:sz w:val="22"/>
          <w:szCs w:val="22"/>
          <w:lang w:val="de-DE" w:eastAsia="de-AT"/>
        </w:rPr>
        <w:t xml:space="preserve">, Gerste) eine deutliche Zunahme der KBE/g Erde im Freiland in beiden Böden festgestellt werden. </w:t>
      </w:r>
      <w:r w:rsidRPr="00C02FDC">
        <w:rPr>
          <w:rFonts w:eastAsia="Times New Roman"/>
          <w:i/>
          <w:color w:val="000000"/>
          <w:sz w:val="22"/>
          <w:szCs w:val="22"/>
          <w:lang w:val="de-DE" w:eastAsia="de-AT"/>
        </w:rPr>
        <w:t>L. lecanii</w:t>
      </w:r>
      <w:r>
        <w:rPr>
          <w:rFonts w:eastAsia="Times New Roman"/>
          <w:color w:val="000000"/>
          <w:sz w:val="22"/>
          <w:szCs w:val="22"/>
          <w:lang w:val="de-DE" w:eastAsia="de-AT"/>
        </w:rPr>
        <w:t xml:space="preserve"> auf Gerste konnte im Lehmigen Sand besser überdauern als im Sandigen Lehm. Dies zeigte auch die </w:t>
      </w:r>
      <w:r w:rsidRPr="00C02FDC">
        <w:rPr>
          <w:rFonts w:eastAsia="Times New Roman"/>
          <w:i/>
          <w:color w:val="000000"/>
          <w:sz w:val="22"/>
          <w:szCs w:val="22"/>
          <w:lang w:val="de-DE" w:eastAsia="de-AT"/>
        </w:rPr>
        <w:t>L. lecanii</w:t>
      </w:r>
      <w:r>
        <w:rPr>
          <w:rFonts w:eastAsia="Times New Roman"/>
          <w:color w:val="000000"/>
          <w:sz w:val="22"/>
          <w:szCs w:val="22"/>
          <w:lang w:val="de-DE" w:eastAsia="de-AT"/>
        </w:rPr>
        <w:t xml:space="preserve">-Maisstroh-Variante. Im Sandigen Lehm hingegen konnte im Juni 2018 in der Variante 8 (Vermiculit) im Freiland ein deutlicher Anstieg der KBE/g Erde nachgewiesen werden. Im Labor bei 7°C wurde jedoch eine deutliche Verringerung der Pilzaktivität verzeichnet, wobei </w:t>
      </w:r>
      <w:r w:rsidRPr="001E2C5A">
        <w:rPr>
          <w:rFonts w:eastAsia="Times New Roman"/>
          <w:i/>
          <w:color w:val="000000"/>
          <w:sz w:val="22"/>
          <w:szCs w:val="22"/>
          <w:lang w:val="de-DE" w:eastAsia="de-AT"/>
        </w:rPr>
        <w:t>M. brunneum</w:t>
      </w:r>
      <w:r>
        <w:rPr>
          <w:rFonts w:eastAsia="Times New Roman"/>
          <w:color w:val="000000"/>
          <w:sz w:val="22"/>
          <w:szCs w:val="22"/>
          <w:lang w:val="de-DE" w:eastAsia="de-AT"/>
        </w:rPr>
        <w:t xml:space="preserve"> besser in beiden Böden überdauern konnte als </w:t>
      </w:r>
      <w:r w:rsidRPr="00D7568F">
        <w:rPr>
          <w:rFonts w:eastAsia="Times New Roman"/>
          <w:i/>
          <w:color w:val="000000"/>
          <w:sz w:val="22"/>
          <w:szCs w:val="22"/>
          <w:lang w:val="de-DE" w:eastAsia="de-AT"/>
        </w:rPr>
        <w:t xml:space="preserve">L. </w:t>
      </w:r>
      <w:r w:rsidRPr="000E7FDF">
        <w:rPr>
          <w:rFonts w:eastAsia="Times New Roman"/>
          <w:i/>
          <w:color w:val="000000"/>
          <w:sz w:val="22"/>
          <w:szCs w:val="22"/>
          <w:lang w:val="de-DE" w:eastAsia="de-AT"/>
        </w:rPr>
        <w:t>lecanii</w:t>
      </w:r>
      <w:r w:rsidR="003B50DF" w:rsidRPr="000E7FDF">
        <w:rPr>
          <w:rFonts w:eastAsia="Times New Roman"/>
          <w:i/>
          <w:color w:val="000000"/>
          <w:sz w:val="22"/>
          <w:szCs w:val="22"/>
          <w:lang w:val="de-DE" w:eastAsia="de-AT"/>
        </w:rPr>
        <w:t xml:space="preserve"> </w:t>
      </w:r>
      <w:r w:rsidR="003B50DF" w:rsidRPr="000E7FDF">
        <w:rPr>
          <w:rFonts w:eastAsia="Times New Roman"/>
          <w:color w:val="000000"/>
          <w:sz w:val="22"/>
          <w:szCs w:val="22"/>
          <w:lang w:val="de-DE" w:eastAsia="de-AT"/>
        </w:rPr>
        <w:t>(Abbildung 87)</w:t>
      </w:r>
      <w:r w:rsidRPr="000E7FDF">
        <w:rPr>
          <w:rFonts w:eastAsia="Times New Roman"/>
          <w:color w:val="000000"/>
          <w:sz w:val="22"/>
          <w:szCs w:val="22"/>
          <w:lang w:val="de-DE" w:eastAsia="de-AT"/>
        </w:rPr>
        <w:t xml:space="preserve">. </w:t>
      </w:r>
      <w:r w:rsidR="003B50DF" w:rsidRPr="000E7FDF">
        <w:rPr>
          <w:rFonts w:eastAsia="Times New Roman"/>
          <w:color w:val="000000"/>
          <w:sz w:val="22"/>
          <w:szCs w:val="22"/>
          <w:lang w:val="de-DE" w:eastAsia="de-AT"/>
        </w:rPr>
        <w:t>Die Zunahme</w:t>
      </w:r>
      <w:r w:rsidR="007245F8" w:rsidRPr="000E7FDF">
        <w:rPr>
          <w:rFonts w:eastAsia="Times New Roman"/>
          <w:color w:val="000000"/>
          <w:sz w:val="22"/>
          <w:szCs w:val="22"/>
          <w:lang w:val="de-DE" w:eastAsia="de-AT"/>
        </w:rPr>
        <w:t xml:space="preserve"> der KBE im Freiland gegenüber dem Labor ist im Frühjahr vermutlich auf die steigenden Temperaturen</w:t>
      </w:r>
      <w:r w:rsidR="007245F8">
        <w:rPr>
          <w:rFonts w:eastAsia="Times New Roman"/>
          <w:color w:val="000000"/>
          <w:sz w:val="22"/>
          <w:szCs w:val="22"/>
          <w:lang w:val="de-DE" w:eastAsia="de-AT"/>
        </w:rPr>
        <w:t xml:space="preserve"> sowie auf die Verfügbarkeit von Wirten (Insekten) zurückzuführen.</w:t>
      </w:r>
    </w:p>
    <w:p w:rsidR="00A80122" w:rsidRDefault="00A80122" w:rsidP="00A80122">
      <w:pPr>
        <w:rPr>
          <w:sz w:val="24"/>
          <w:szCs w:val="24"/>
        </w:rPr>
      </w:pPr>
    </w:p>
    <w:p w:rsidR="00A80122" w:rsidRDefault="00A80122" w:rsidP="00A80122">
      <w:pPr>
        <w:jc w:val="both"/>
        <w:rPr>
          <w:rFonts w:eastAsia="Times New Roman"/>
          <w:color w:val="000000"/>
          <w:sz w:val="22"/>
          <w:szCs w:val="22"/>
          <w:lang w:val="de-DE" w:eastAsia="de-AT"/>
        </w:rPr>
      </w:pPr>
      <w:r w:rsidRPr="00EC5790">
        <w:rPr>
          <w:rFonts w:eastAsia="Times New Roman"/>
          <w:color w:val="000000"/>
          <w:sz w:val="22"/>
          <w:szCs w:val="22"/>
          <w:lang w:val="de-DE" w:eastAsia="de-AT"/>
        </w:rPr>
        <w:t xml:space="preserve">Die entomopathogenen Pilze </w:t>
      </w:r>
      <w:r w:rsidRPr="00EC5790">
        <w:rPr>
          <w:rFonts w:eastAsia="Times New Roman"/>
          <w:i/>
          <w:color w:val="000000"/>
          <w:sz w:val="22"/>
          <w:szCs w:val="22"/>
          <w:lang w:val="de-DE" w:eastAsia="de-AT"/>
        </w:rPr>
        <w:t>Metarhizium brunneum</w:t>
      </w:r>
      <w:r w:rsidRPr="00EC5790">
        <w:rPr>
          <w:rFonts w:eastAsia="Times New Roman"/>
          <w:color w:val="000000"/>
          <w:sz w:val="22"/>
          <w:szCs w:val="22"/>
          <w:lang w:val="de-DE" w:eastAsia="de-AT"/>
        </w:rPr>
        <w:t xml:space="preserve"> und </w:t>
      </w:r>
      <w:r w:rsidRPr="00EC5790">
        <w:rPr>
          <w:rFonts w:eastAsia="Times New Roman"/>
          <w:i/>
          <w:color w:val="000000"/>
          <w:sz w:val="22"/>
          <w:szCs w:val="22"/>
          <w:lang w:val="de-DE" w:eastAsia="de-AT"/>
        </w:rPr>
        <w:t>Lecanicillium lecanii</w:t>
      </w:r>
      <w:r w:rsidRPr="00EC5790">
        <w:rPr>
          <w:rFonts w:eastAsia="Times New Roman"/>
          <w:color w:val="000000"/>
          <w:sz w:val="22"/>
          <w:szCs w:val="22"/>
          <w:lang w:val="de-DE" w:eastAsia="de-AT"/>
        </w:rPr>
        <w:t xml:space="preserve"> unterscheiden sich nicht signifikant voneinander hinsichtlich ihrer Überdauerungsfähigkeit im Boden. Die Persistenz der Pilze hängt in erster Linie von der Wasserhaltekapazität des Bodens ab. Regelmäßige Niederschläge verringern jedoch diesen Einfluss des Bodens auf die Pilze. Bodenfrost zeigte keinen signifikanten Einfluss auf die Abnahme der KBE gegenüber der Lagerung des Bodens bei 7°C. Die Virulenz von </w:t>
      </w:r>
      <w:r w:rsidRPr="00EC5790">
        <w:rPr>
          <w:rFonts w:eastAsia="Times New Roman"/>
          <w:i/>
          <w:color w:val="000000"/>
          <w:sz w:val="22"/>
          <w:szCs w:val="22"/>
          <w:lang w:val="de-DE" w:eastAsia="de-AT"/>
        </w:rPr>
        <w:t xml:space="preserve">M. brunneum </w:t>
      </w:r>
      <w:r w:rsidRPr="00EC5790">
        <w:rPr>
          <w:rFonts w:eastAsia="Times New Roman"/>
          <w:color w:val="000000"/>
          <w:sz w:val="22"/>
          <w:szCs w:val="22"/>
          <w:lang w:val="de-DE" w:eastAsia="de-AT"/>
        </w:rPr>
        <w:t xml:space="preserve">hängt von der Art des Wirtsorganismus ab und wird auch durch die Bodenfeuchte sowie durch den pH-Wert des Bodens signifikant beeinflusst. </w:t>
      </w:r>
    </w:p>
    <w:p w:rsidR="007245F8" w:rsidRPr="00EC5790" w:rsidRDefault="007245F8" w:rsidP="00A80122">
      <w:pPr>
        <w:jc w:val="both"/>
        <w:rPr>
          <w:rFonts w:eastAsia="Times New Roman"/>
          <w:color w:val="000000"/>
          <w:sz w:val="22"/>
          <w:szCs w:val="22"/>
          <w:lang w:val="de-DE" w:eastAsia="de-AT"/>
        </w:rPr>
      </w:pPr>
    </w:p>
    <w:p w:rsidR="00A80122" w:rsidRDefault="00841977" w:rsidP="007245F8">
      <w:pPr>
        <w:pStyle w:val="1Unterkapitel"/>
      </w:pPr>
      <w:bookmarkStart w:id="376" w:name="_Toc7715641"/>
      <w:r>
        <w:t>Untersuchung</w:t>
      </w:r>
      <w:r w:rsidR="00A80122">
        <w:t xml:space="preserve"> von </w:t>
      </w:r>
      <w:r w:rsidR="00A80122" w:rsidRPr="007245F8">
        <w:rPr>
          <w:i/>
        </w:rPr>
        <w:t>Metacordyceps chlamydosporia</w:t>
      </w:r>
      <w:bookmarkEnd w:id="376"/>
    </w:p>
    <w:p w:rsidR="00841977" w:rsidRDefault="007245F8" w:rsidP="007245F8">
      <w:pPr>
        <w:pStyle w:val="FlietextEinleitung"/>
        <w:ind w:firstLine="0"/>
        <w:jc w:val="both"/>
        <w:rPr>
          <w:sz w:val="22"/>
          <w:szCs w:val="22"/>
        </w:rPr>
      </w:pPr>
      <w:r w:rsidRPr="007245F8">
        <w:rPr>
          <w:sz w:val="22"/>
          <w:szCs w:val="22"/>
        </w:rPr>
        <w:t>Am Versuchsfeld</w:t>
      </w:r>
      <w:r w:rsidR="00841977" w:rsidRPr="007245F8">
        <w:rPr>
          <w:sz w:val="22"/>
          <w:szCs w:val="22"/>
        </w:rPr>
        <w:t xml:space="preserve"> in St. Margarethen im Raab</w:t>
      </w:r>
      <w:r w:rsidRPr="007245F8">
        <w:rPr>
          <w:sz w:val="22"/>
          <w:szCs w:val="22"/>
        </w:rPr>
        <w:t>tal konnte der Pilz Metacordyceps chlamydosporia</w:t>
      </w:r>
      <w:r w:rsidR="00841977" w:rsidRPr="007245F8">
        <w:rPr>
          <w:sz w:val="22"/>
          <w:szCs w:val="22"/>
        </w:rPr>
        <w:t xml:space="preserve"> </w:t>
      </w:r>
      <w:r w:rsidRPr="007245F8">
        <w:rPr>
          <w:sz w:val="22"/>
          <w:szCs w:val="22"/>
        </w:rPr>
        <w:t xml:space="preserve">isoliert und als potentiell insektenpathogen eingestuft. </w:t>
      </w:r>
      <w:r w:rsidR="00841977" w:rsidRPr="007245F8">
        <w:rPr>
          <w:sz w:val="22"/>
          <w:szCs w:val="22"/>
        </w:rPr>
        <w:t xml:space="preserve">Eine mögliche Virulenz des Pilzes gegen </w:t>
      </w:r>
      <w:r w:rsidR="00BA03AE">
        <w:rPr>
          <w:sz w:val="22"/>
          <w:szCs w:val="22"/>
        </w:rPr>
        <w:t xml:space="preserve">Insekten </w:t>
      </w:r>
      <w:r w:rsidRPr="007245F8">
        <w:rPr>
          <w:sz w:val="22"/>
          <w:szCs w:val="22"/>
        </w:rPr>
        <w:t xml:space="preserve">sollte daher </w:t>
      </w:r>
      <w:r w:rsidR="00841977" w:rsidRPr="007245F8">
        <w:rPr>
          <w:sz w:val="22"/>
          <w:szCs w:val="22"/>
        </w:rPr>
        <w:t>im Labor untersucht</w:t>
      </w:r>
      <w:r w:rsidRPr="007245F8">
        <w:rPr>
          <w:sz w:val="22"/>
          <w:szCs w:val="22"/>
        </w:rPr>
        <w:t xml:space="preserve"> werden</w:t>
      </w:r>
      <w:r w:rsidR="00841977" w:rsidRPr="007245F8">
        <w:rPr>
          <w:sz w:val="22"/>
          <w:szCs w:val="22"/>
        </w:rPr>
        <w:t xml:space="preserve">. </w:t>
      </w:r>
    </w:p>
    <w:p w:rsidR="007245F8" w:rsidRPr="007245F8" w:rsidRDefault="007245F8" w:rsidP="007245F8">
      <w:pPr>
        <w:pStyle w:val="11Unterkapitel"/>
      </w:pPr>
      <w:bookmarkStart w:id="377" w:name="_Toc7715642"/>
      <w:r>
        <w:t xml:space="preserve">untersuchung der wirkung von </w:t>
      </w:r>
      <w:r w:rsidRPr="007245F8">
        <w:rPr>
          <w:i/>
        </w:rPr>
        <w:t>METACORDYCEPS CHLAMYDOSPORIA</w:t>
      </w:r>
      <w:r>
        <w:rPr>
          <w:i/>
        </w:rPr>
        <w:t xml:space="preserve"> </w:t>
      </w:r>
      <w:r>
        <w:t xml:space="preserve">gegen </w:t>
      </w:r>
      <w:r w:rsidR="00706CD2" w:rsidRPr="00706CD2">
        <w:t xml:space="preserve">Die </w:t>
      </w:r>
      <w:r>
        <w:t>Baumwollkapseleule)</w:t>
      </w:r>
      <w:bookmarkEnd w:id="377"/>
    </w:p>
    <w:p w:rsidR="00097D4A" w:rsidRPr="00097D4A" w:rsidRDefault="007245F8" w:rsidP="00973BAB">
      <w:pPr>
        <w:pStyle w:val="FlietextEinleitung"/>
        <w:ind w:firstLine="0"/>
        <w:jc w:val="both"/>
      </w:pPr>
      <w:r>
        <w:t xml:space="preserve">Im Labor wurde untersucht, ob </w:t>
      </w:r>
      <w:r w:rsidRPr="00097D4A">
        <w:rPr>
          <w:i/>
        </w:rPr>
        <w:t>Metacordyceps chlamydosporia</w:t>
      </w:r>
      <w:r>
        <w:t xml:space="preserve"> in der Lage ist Puppen der Baumwollkapseleule </w:t>
      </w:r>
      <w:r w:rsidRPr="007245F8">
        <w:rPr>
          <w:i/>
        </w:rPr>
        <w:t>Helicoverpa armigera</w:t>
      </w:r>
      <w:r>
        <w:t xml:space="preserve"> abzutöten. Dafür wurden </w:t>
      </w:r>
      <w:r w:rsidRPr="007245F8">
        <w:rPr>
          <w:i/>
        </w:rPr>
        <w:t>Helicoverpa</w:t>
      </w:r>
      <w:r>
        <w:t xml:space="preserve">-Puppen mittels einer in Sporensupension getauchten Injektionsnadel zwischen den </w:t>
      </w:r>
      <w:r w:rsidRPr="000E7FDF">
        <w:t xml:space="preserve">Hinterleibssegmenten angestochen und auf Dodin-Agarplatten gelegt. </w:t>
      </w:r>
      <w:r w:rsidR="00BA03AE" w:rsidRPr="000E7FDF">
        <w:t>Der Großteil</w:t>
      </w:r>
      <w:r w:rsidRPr="000E7FDF">
        <w:t xml:space="preserve"> der infizierten Puppen konnten sich zum Falter weiterentwickeln (</w:t>
      </w:r>
      <w:r w:rsidR="00097D4A" w:rsidRPr="000E7FDF">
        <w:t>Abbildung 88</w:t>
      </w:r>
      <w:r w:rsidRPr="000E7FDF">
        <w:t>, linke Petrischale), nur wenige Puppen wurden dadurch abgetötet (Abb</w:t>
      </w:r>
      <w:r w:rsidR="00097D4A" w:rsidRPr="000E7FDF">
        <w:t>ildung 88</w:t>
      </w:r>
      <w:r w:rsidRPr="000E7FDF">
        <w:t>, rechte Petrischale). Ein Tauchen von unversehrten Puppen in Sporensuspension zeigte keine abtötende Wirkung. In einem weiteren Versuch wurden Rispentomaten mittels Sporensuspension behandelt und</w:t>
      </w:r>
      <w:r>
        <w:t xml:space="preserve"> anschließend mit Helicoverpa-Raupen im 1. Larvenstadium infiziert. </w:t>
      </w:r>
      <w:r w:rsidR="003C57EB">
        <w:t xml:space="preserve">Hierfür wurden mit </w:t>
      </w:r>
      <w:r w:rsidR="003C57EB" w:rsidRPr="003C57EB">
        <w:rPr>
          <w:i/>
        </w:rPr>
        <w:t>M. chlamydosporia</w:t>
      </w:r>
      <w:r w:rsidR="003C57EB">
        <w:t xml:space="preserve"> bewachsene Agarplatten mit einer 0,1% Tween 80 Lösung ausgewaschen und durch 4 Lagen Milchfilter gefiltert. Jede Platte wurde zweimal ausgewaschen  und anschließend der Milchfilter auch mit Tween nachgespült. Die Sporensuspen wurde anschließend in der Bürker-Türk Kammer ausgezählt und auf 10</w:t>
      </w:r>
      <w:r w:rsidR="003C57EB" w:rsidRPr="003C57EB">
        <w:rPr>
          <w:vertAlign w:val="superscript"/>
        </w:rPr>
        <w:t>7</w:t>
      </w:r>
      <w:r w:rsidR="003C57EB">
        <w:t xml:space="preserve"> Sporen pro Milliliter verdünnt.</w:t>
      </w:r>
      <w:r w:rsidR="006C2F45" w:rsidRPr="006C2F45">
        <w:t xml:space="preserve"> </w:t>
      </w:r>
      <w:r w:rsidR="003C57EB">
        <w:t xml:space="preserve">Anschließend wurde die Lösung auf Rispentomaten aufgetragen und jeweils 20 </w:t>
      </w:r>
      <w:r w:rsidR="003C57EB" w:rsidRPr="003C57EB">
        <w:rPr>
          <w:i/>
        </w:rPr>
        <w:t>H. armigera</w:t>
      </w:r>
      <w:r w:rsidR="003C57EB">
        <w:t xml:space="preserve"> Larven im L-1 Stadium </w:t>
      </w:r>
      <w:r w:rsidR="003C57EB" w:rsidRPr="000E7FDF">
        <w:t xml:space="preserve">mit einem feinen Pinsel auf die Tomaten plaziert. </w:t>
      </w:r>
      <w:r w:rsidR="006C2F45" w:rsidRPr="000E7FDF">
        <w:t xml:space="preserve">Die Null Variante wurde mit einem Wasser-Tween-Gemisch durchgeführt. </w:t>
      </w:r>
      <w:r w:rsidR="003C57EB" w:rsidRPr="000E7FDF">
        <w:t>Der Versuch wurde für zwei Wochen bei 25°C, 70% relativer Luftfeuchtigkeit und Langtagbedingungen (16 Stunden Licht) durchgeführt. Es konnte keine Mortalität der Larven beobachtet werden</w:t>
      </w:r>
      <w:r w:rsidRPr="000E7FDF">
        <w:t xml:space="preserve"> (Abb</w:t>
      </w:r>
      <w:r w:rsidR="00097D4A" w:rsidRPr="000E7FDF">
        <w:t>ildung 89</w:t>
      </w:r>
      <w:r w:rsidRPr="000E7FDF">
        <w:t>).</w:t>
      </w:r>
      <w:r>
        <w:t xml:space="preserve"> </w:t>
      </w:r>
    </w:p>
    <w:p w:rsidR="00B75D21" w:rsidRDefault="00097D4A" w:rsidP="001C7150">
      <w:pPr>
        <w:pStyle w:val="Flietext"/>
      </w:pPr>
      <w:r>
        <w:rPr>
          <w:noProof/>
          <w:lang w:eastAsia="de-AT"/>
        </w:rPr>
        <w:drawing>
          <wp:inline distT="0" distB="0" distL="0" distR="0" wp14:anchorId="75D08BE9" wp14:editId="5C9461AE">
            <wp:extent cx="4976812" cy="2592197"/>
            <wp:effectExtent l="0" t="0" r="0" b="0"/>
            <wp:docPr id="9295" name="Grafik 9295" descr="N:\LWT\NPP\FEGA\Public\ENTO\Forschungsprojekte\diacont\4 Versuche\2018_Metacordyceps\Helicoverpa_Puppen\Helicoverpa Schlupf\WP_20180306_10_57_03_Pro.jpg" title="infizierte Pup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LWT\NPP\FEGA\Public\ENTO\Forschungsprojekte\diacont\4 Versuche\2018_Metacordyceps\Helicoverpa_Puppen\Helicoverpa Schlupf\WP_20180306_10_57_03_Pro.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551" t="7003" r="9171" b="9608"/>
                    <a:stretch/>
                  </pic:blipFill>
                  <pic:spPr bwMode="auto">
                    <a:xfrm>
                      <a:off x="0" y="0"/>
                      <a:ext cx="4987180" cy="2597597"/>
                    </a:xfrm>
                    <a:prstGeom prst="rect">
                      <a:avLst/>
                    </a:prstGeom>
                    <a:noFill/>
                    <a:ln>
                      <a:noFill/>
                    </a:ln>
                    <a:extLst>
                      <a:ext uri="{53640926-AAD7-44D8-BBD7-CCE9431645EC}">
                        <a14:shadowObscured xmlns:a14="http://schemas.microsoft.com/office/drawing/2010/main"/>
                      </a:ext>
                    </a:extLst>
                  </pic:spPr>
                </pic:pic>
              </a:graphicData>
            </a:graphic>
          </wp:inline>
        </w:drawing>
      </w:r>
    </w:p>
    <w:p w:rsidR="00097D4A" w:rsidRDefault="00097D4A" w:rsidP="00097D4A">
      <w:pPr>
        <w:pStyle w:val="Beschriftung"/>
      </w:pPr>
      <w:bookmarkStart w:id="378" w:name="_Toc7715476"/>
      <w:r>
        <w:t xml:space="preserve">Abbildung </w:t>
      </w:r>
      <w:fldSimple w:instr=" SEQ Abbildung \* ARABIC ">
        <w:r>
          <w:rPr>
            <w:noProof/>
          </w:rPr>
          <w:t>88</w:t>
        </w:r>
      </w:fldSimple>
      <w:r>
        <w:t>:</w:t>
      </w:r>
      <w:r w:rsidRPr="0099786D">
        <w:t xml:space="preserve"> </w:t>
      </w:r>
      <w:r w:rsidRPr="00097D4A">
        <w:t>Mit M. chlamydosporia infizierte Helicoverpa-Puppen.</w:t>
      </w:r>
      <w:bookmarkEnd w:id="378"/>
    </w:p>
    <w:p w:rsidR="00097D4A" w:rsidRDefault="00097D4A" w:rsidP="001C7150">
      <w:pPr>
        <w:pStyle w:val="Flietext"/>
      </w:pPr>
      <w:r>
        <w:rPr>
          <w:noProof/>
          <w:lang w:eastAsia="de-AT"/>
        </w:rPr>
        <w:drawing>
          <wp:inline distT="0" distB="0" distL="0" distR="0" wp14:anchorId="4374299A" wp14:editId="5A6CC72B">
            <wp:extent cx="4976812" cy="3424746"/>
            <wp:effectExtent l="0" t="0" r="0" b="4445"/>
            <wp:docPr id="9296" name="Grafik 9296" descr="N:\LWT\NPP\FEGA\Public\ENTO\Forschungsprojekte\diacont\4 Versuche\Screenings_2018\Fotos_Helicoverpa_Tomaten-Paprika\IMG_3371.JPG" title="Helicoverpa Ra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LWT\NPP\FEGA\Public\ENTO\Forschungsprojekte\diacont\4 Versuche\Screenings_2018\Fotos_Helicoverpa_Tomaten-Paprika\IMG_3371.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r="3121"/>
                    <a:stretch/>
                  </pic:blipFill>
                  <pic:spPr bwMode="auto">
                    <a:xfrm>
                      <a:off x="0" y="0"/>
                      <a:ext cx="4988871" cy="3433044"/>
                    </a:xfrm>
                    <a:prstGeom prst="rect">
                      <a:avLst/>
                    </a:prstGeom>
                    <a:noFill/>
                    <a:ln>
                      <a:noFill/>
                    </a:ln>
                    <a:extLst>
                      <a:ext uri="{53640926-AAD7-44D8-BBD7-CCE9431645EC}">
                        <a14:shadowObscured xmlns:a14="http://schemas.microsoft.com/office/drawing/2010/main"/>
                      </a:ext>
                    </a:extLst>
                  </pic:spPr>
                </pic:pic>
              </a:graphicData>
            </a:graphic>
          </wp:inline>
        </w:drawing>
      </w:r>
    </w:p>
    <w:p w:rsidR="00097D4A" w:rsidRDefault="00097D4A" w:rsidP="00097D4A">
      <w:pPr>
        <w:pStyle w:val="Beschriftung"/>
      </w:pPr>
      <w:bookmarkStart w:id="379" w:name="_Toc7715477"/>
      <w:r>
        <w:t xml:space="preserve">Abbildung </w:t>
      </w:r>
      <w:fldSimple w:instr=" SEQ Abbildung \* ARABIC ">
        <w:r>
          <w:rPr>
            <w:noProof/>
          </w:rPr>
          <w:t>89</w:t>
        </w:r>
      </w:fldSimple>
      <w:r>
        <w:t>:</w:t>
      </w:r>
      <w:r w:rsidRPr="0099786D">
        <w:t xml:space="preserve"> </w:t>
      </w:r>
      <w:r w:rsidRPr="00097D4A">
        <w:t>Helicoverpa-Raupe auf mit M. chlamydosporia behandelter Rispentomate</w:t>
      </w:r>
      <w:r>
        <w:t>.</w:t>
      </w:r>
      <w:bookmarkEnd w:id="379"/>
    </w:p>
    <w:p w:rsidR="00097D4A" w:rsidRDefault="00097D4A" w:rsidP="001C7150">
      <w:pPr>
        <w:pStyle w:val="Flietext"/>
      </w:pPr>
    </w:p>
    <w:p w:rsidR="00097D4A" w:rsidRPr="007245F8" w:rsidRDefault="00097D4A" w:rsidP="00097D4A">
      <w:pPr>
        <w:pStyle w:val="11Unterkapitel"/>
      </w:pPr>
      <w:bookmarkStart w:id="380" w:name="_Toc7715643"/>
      <w:r>
        <w:t xml:space="preserve">untersuchung der wirkung von </w:t>
      </w:r>
      <w:r w:rsidRPr="007245F8">
        <w:rPr>
          <w:i/>
        </w:rPr>
        <w:t>METACORDYCEPS CHLAMYDOSPORIA</w:t>
      </w:r>
      <w:r>
        <w:rPr>
          <w:i/>
        </w:rPr>
        <w:t xml:space="preserve"> </w:t>
      </w:r>
      <w:r>
        <w:t xml:space="preserve">gegen </w:t>
      </w:r>
      <w:r>
        <w:rPr>
          <w:i/>
        </w:rPr>
        <w:t>Tenebrio molitor (Mehlwürmer)</w:t>
      </w:r>
      <w:bookmarkEnd w:id="380"/>
    </w:p>
    <w:p w:rsidR="006C2F45" w:rsidRDefault="00097D4A" w:rsidP="00973BAB">
      <w:pPr>
        <w:pStyle w:val="Flietext"/>
        <w:jc w:val="both"/>
      </w:pPr>
      <w:r>
        <w:t xml:space="preserve">Da der erste </w:t>
      </w:r>
      <w:r w:rsidR="00BA03AE">
        <w:t xml:space="preserve">Tastversuch mit </w:t>
      </w:r>
      <w:r w:rsidR="00BA03AE" w:rsidRPr="00097D4A">
        <w:rPr>
          <w:i/>
        </w:rPr>
        <w:t>Metacordyceps chlamydosporia</w:t>
      </w:r>
      <w:r w:rsidR="00BA03AE">
        <w:rPr>
          <w:i/>
        </w:rPr>
        <w:t xml:space="preserve"> </w:t>
      </w:r>
      <w:r w:rsidR="00BA03AE">
        <w:t xml:space="preserve">gegen </w:t>
      </w:r>
      <w:r w:rsidR="00BA03AE" w:rsidRPr="00BA03AE">
        <w:rPr>
          <w:i/>
        </w:rPr>
        <w:t>Helicoverpa armigera</w:t>
      </w:r>
      <w:r w:rsidR="00BA03AE">
        <w:t xml:space="preserve"> </w:t>
      </w:r>
      <w:r w:rsidR="003C0AD0">
        <w:t xml:space="preserve">nicht darauf hindeutete, dass der vom </w:t>
      </w:r>
      <w:r w:rsidR="003C0AD0" w:rsidRPr="007245F8">
        <w:rPr>
          <w:sz w:val="22"/>
          <w:szCs w:val="22"/>
        </w:rPr>
        <w:t xml:space="preserve">Versuchsfeld in St. Margarethen im Raabtal </w:t>
      </w:r>
      <w:r w:rsidR="003C0AD0">
        <w:rPr>
          <w:sz w:val="22"/>
          <w:szCs w:val="22"/>
        </w:rPr>
        <w:t>isolierte</w:t>
      </w:r>
      <w:r w:rsidR="003C0AD0" w:rsidRPr="007245F8">
        <w:rPr>
          <w:sz w:val="22"/>
          <w:szCs w:val="22"/>
        </w:rPr>
        <w:t xml:space="preserve"> Pilz </w:t>
      </w:r>
      <w:r w:rsidR="003C0AD0" w:rsidRPr="003C0AD0">
        <w:rPr>
          <w:i/>
          <w:sz w:val="22"/>
          <w:szCs w:val="22"/>
        </w:rPr>
        <w:t>Metacordyceps chlamydosporia</w:t>
      </w:r>
      <w:r w:rsidR="003C0AD0">
        <w:rPr>
          <w:sz w:val="22"/>
          <w:szCs w:val="22"/>
        </w:rPr>
        <w:t xml:space="preserve"> insektenpathogen ist, wurde ein Dippingtest mit den gegen insektenpathogene Pilze sehr empfindlichen Larven von </w:t>
      </w:r>
      <w:r w:rsidR="003C0AD0" w:rsidRPr="003C0AD0">
        <w:rPr>
          <w:i/>
          <w:sz w:val="22"/>
          <w:szCs w:val="22"/>
        </w:rPr>
        <w:t>Tenebrio molitor</w:t>
      </w:r>
      <w:r w:rsidR="003C0AD0">
        <w:rPr>
          <w:sz w:val="22"/>
          <w:szCs w:val="22"/>
        </w:rPr>
        <w:t xml:space="preserve"> (Mehlwürmern) </w:t>
      </w:r>
      <w:r w:rsidR="006C2F45">
        <w:rPr>
          <w:sz w:val="22"/>
          <w:szCs w:val="22"/>
        </w:rPr>
        <w:t xml:space="preserve">in einem jungen Entwicklungsstadium </w:t>
      </w:r>
      <w:r w:rsidR="003C0AD0">
        <w:rPr>
          <w:sz w:val="22"/>
          <w:szCs w:val="22"/>
        </w:rPr>
        <w:t xml:space="preserve">durchgeführt. </w:t>
      </w:r>
      <w:r w:rsidR="006C2F45">
        <w:t xml:space="preserve">Auch hierfür wurden mit </w:t>
      </w:r>
      <w:r w:rsidR="006C2F45" w:rsidRPr="003C57EB">
        <w:rPr>
          <w:i/>
        </w:rPr>
        <w:t>M. chlamydosporia</w:t>
      </w:r>
      <w:r w:rsidR="006C2F45">
        <w:t xml:space="preserve"> bewachsene Agarplatten mit einer 0,1% Tween 80 Lösung ausgewaschen und durch 4 Lagen Milchfilter gefiltert. Jede Platte wurde zweimal ausgewaschen  und anschließend der Milchfilter auch mit Tween nachgespült. Die Sporensuspen wurde anschließend in der Bürker-Türk Kammer ausgezählt und auf 10</w:t>
      </w:r>
      <w:r w:rsidR="006C2F45" w:rsidRPr="003C57EB">
        <w:rPr>
          <w:vertAlign w:val="superscript"/>
        </w:rPr>
        <w:t>7</w:t>
      </w:r>
      <w:r w:rsidR="006C2F45">
        <w:t xml:space="preserve"> Sporen pro Milliliter verdünnt. Für den Dipping-Test wurden jeweils 25</w:t>
      </w:r>
      <w:r w:rsidR="003C57EB">
        <w:t xml:space="preserve"> Larven zugleich in die verschiedenen Suspensionen für 20 Sekunden eingetaucht und anschließend auf die Behälter mit Nahrung</w:t>
      </w:r>
      <w:r w:rsidR="006C2F45">
        <w:t xml:space="preserve"> (Gemisch aus 10 Gramm Haferflocken und 5 Gramm Rosinen)</w:t>
      </w:r>
      <w:r w:rsidR="003C57EB">
        <w:t xml:space="preserve"> aufgeteilt; 5 pro Behälter. Die Null Variante wurde mit einem Wasser-Tween-Gemisch durchgeführt. </w:t>
      </w:r>
      <w:r w:rsidR="006C2F45">
        <w:t xml:space="preserve">Die Behälter wurden in eine Klimakammer mit 25°C, 70% relativer Luftfeuchtigkeit und Langtagbedingungen (16 Stunden Licht) gestellt und wöchentlich nach toten Larven durchsucht. Insegsamt wurden die Behälter vier Wochen inkubiert. Auch hier konnte keine Mortalität der Larven beobachtet werden. </w:t>
      </w:r>
    </w:p>
    <w:p w:rsidR="00BA03AE" w:rsidRDefault="006C2F45" w:rsidP="00973BAB">
      <w:pPr>
        <w:pStyle w:val="Flietext"/>
        <w:jc w:val="both"/>
      </w:pPr>
      <w:r>
        <w:t>Da der isolierte Stamm von Metacordyceps chlamydosporia keine insektenpathogene Wirkung aufzuweisen schien, wurde auf die Durchführung weiterer Versuche verzichtet.</w:t>
      </w:r>
    </w:p>
    <w:p w:rsidR="000E7FDF" w:rsidRDefault="000E7FDF">
      <w:pPr>
        <w:rPr>
          <w:color w:val="000000"/>
        </w:rPr>
      </w:pPr>
      <w:r>
        <w:br w:type="page"/>
      </w:r>
    </w:p>
    <w:p w:rsidR="00E272CB" w:rsidRPr="00866CD1" w:rsidRDefault="00E272CB" w:rsidP="00E272CB">
      <w:pPr>
        <w:pStyle w:val="berschrift118pt"/>
      </w:pPr>
      <w:bookmarkStart w:id="381" w:name="_Toc532311641"/>
      <w:bookmarkStart w:id="382" w:name="_Toc7715644"/>
      <w:r w:rsidRPr="00866CD1">
        <w:t>Zukunftsweisende Massnahmen und Strategien zur Bekämpfung des Westlichen Maiswurzelbohrers</w:t>
      </w:r>
      <w:bookmarkEnd w:id="381"/>
      <w:bookmarkEnd w:id="382"/>
    </w:p>
    <w:p w:rsidR="00E272CB" w:rsidRPr="009B6BDD" w:rsidRDefault="00E272CB" w:rsidP="009B6BDD">
      <w:pPr>
        <w:pStyle w:val="1Unterkapitel"/>
        <w:rPr>
          <w:b w:val="0"/>
        </w:rPr>
      </w:pPr>
      <w:bookmarkStart w:id="383" w:name="_Toc7715645"/>
      <w:r w:rsidRPr="009B6BDD">
        <w:rPr>
          <w:b w:val="0"/>
        </w:rPr>
        <w:t xml:space="preserve">Aktualisierung der ökonomischen Schadschwelle von </w:t>
      </w:r>
      <w:r w:rsidRPr="009B6BDD">
        <w:rPr>
          <w:b w:val="0"/>
          <w:i/>
        </w:rPr>
        <w:t>Diabrotica</w:t>
      </w:r>
      <w:bookmarkEnd w:id="383"/>
      <w:r w:rsidRPr="009B6BDD">
        <w:rPr>
          <w:b w:val="0"/>
        </w:rPr>
        <w:t xml:space="preserve"> </w:t>
      </w:r>
    </w:p>
    <w:p w:rsidR="00E272CB" w:rsidRPr="00866CD1" w:rsidRDefault="00E272CB" w:rsidP="00973BAB">
      <w:pPr>
        <w:spacing w:before="270" w:line="270" w:lineRule="exact"/>
        <w:ind w:firstLine="709"/>
        <w:jc w:val="both"/>
        <w:rPr>
          <w:rFonts w:eastAsia="Times New Roman"/>
          <w:color w:val="000000"/>
        </w:rPr>
      </w:pPr>
      <w:r w:rsidRPr="00866CD1">
        <w:rPr>
          <w:rFonts w:eastAsia="Times New Roman"/>
          <w:color w:val="000000"/>
        </w:rPr>
        <w:t>Die Dichte einer Maiswurzelbohrer</w:t>
      </w:r>
      <w:r>
        <w:rPr>
          <w:rFonts w:eastAsia="Times New Roman"/>
          <w:color w:val="000000"/>
        </w:rPr>
        <w:t>p</w:t>
      </w:r>
      <w:r w:rsidRPr="00866CD1">
        <w:rPr>
          <w:rFonts w:eastAsia="Times New Roman"/>
          <w:color w:val="000000"/>
        </w:rPr>
        <w:t>opulation und deren Schadpotential ist bekanntlich abhängig von der Beschaffenheit des Lebensraumes, von der angebauten Maissorte und den lokalen Wetterbedingungen (v.a. Niederschlagshäufigkeit, Bewässerungsmöglichkeiten). Abgeleitet von einschlägigen Veröffentlichungen sowie von unseren Langzeitbeobachtungen, haben wir einen Schwellenwert in der Höhe von 50 bis 70 Käfer m</w:t>
      </w:r>
      <w:r w:rsidRPr="00866CD1">
        <w:rPr>
          <w:rFonts w:eastAsia="Times New Roman"/>
          <w:color w:val="000000"/>
          <w:vertAlign w:val="superscript"/>
        </w:rPr>
        <w:t>-2</w:t>
      </w:r>
      <w:r w:rsidRPr="00866CD1">
        <w:rPr>
          <w:rFonts w:eastAsia="Times New Roman"/>
          <w:color w:val="000000"/>
        </w:rPr>
        <w:t xml:space="preserve"> definiert (d.h. ca. 10 Käfer pro Pflanze; abhängig von der Maisaussaatstärke pro Hektar). Spätestens bei Erreichen dieser Käfer-Zahl (Abundanz) sind die Maisbauern aufgefordert, alle notwendige Bekämpfungsmaßnahmen für das Folgejahr vorzubereiten bzw. durchzuführen.</w:t>
      </w:r>
    </w:p>
    <w:p w:rsidR="00E272CB" w:rsidRPr="00866CD1" w:rsidRDefault="00E272CB" w:rsidP="009B6BDD">
      <w:pPr>
        <w:pStyle w:val="1Unterkapitel"/>
        <w:rPr>
          <w:rStyle w:val="Fett"/>
        </w:rPr>
      </w:pPr>
      <w:bookmarkStart w:id="384" w:name="_Toc7715646"/>
      <w:r w:rsidRPr="00866CD1">
        <w:rPr>
          <w:rStyle w:val="Fett"/>
        </w:rPr>
        <w:t>Ermittlung der Schadschwelle mit dem Sch</w:t>
      </w:r>
      <w:r>
        <w:rPr>
          <w:rStyle w:val="Fett"/>
        </w:rPr>
        <w:t>l</w:t>
      </w:r>
      <w:r w:rsidRPr="00866CD1">
        <w:rPr>
          <w:rStyle w:val="Fett"/>
        </w:rPr>
        <w:t>upfkäfigsystem</w:t>
      </w:r>
      <w:bookmarkEnd w:id="384"/>
      <w:r w:rsidRPr="00866CD1">
        <w:rPr>
          <w:rStyle w:val="Fett"/>
        </w:rPr>
        <w:t xml:space="preserve"> </w:t>
      </w:r>
    </w:p>
    <w:p w:rsidR="00E272CB" w:rsidRPr="00866CD1" w:rsidRDefault="00E272CB" w:rsidP="00973BAB">
      <w:pPr>
        <w:spacing w:before="270" w:line="270" w:lineRule="exact"/>
        <w:ind w:firstLine="709"/>
        <w:jc w:val="both"/>
        <w:rPr>
          <w:rFonts w:eastAsia="Times New Roman"/>
          <w:color w:val="000000"/>
        </w:rPr>
      </w:pPr>
      <w:r w:rsidRPr="00866CD1">
        <w:rPr>
          <w:rFonts w:eastAsia="Times New Roman"/>
          <w:color w:val="000000"/>
        </w:rPr>
        <w:t>Das Maiswurzelbohrer-Käfermonitoring sollte vermehrt mit dem seit über sechs Jahre geprüften Schlupfkäfig</w:t>
      </w:r>
      <w:r>
        <w:rPr>
          <w:rFonts w:eastAsia="Times New Roman"/>
          <w:color w:val="000000"/>
        </w:rPr>
        <w:t>s</w:t>
      </w:r>
      <w:r w:rsidRPr="00866CD1">
        <w:rPr>
          <w:rFonts w:eastAsia="Times New Roman"/>
          <w:color w:val="000000"/>
        </w:rPr>
        <w:t xml:space="preserve">ystem durchgeführt werden (Rauch et al. 2017). Nur dieses Fallensystem garantiert eine korrekte Erhebung der Käferzahl pro Flächeneinheit bzw. Pflanze im Maisacker. Der pyramidenförmig gestaltete Schlupfkäfig ermöglicht eine nahezu vollständige Zählung aller ausschwärmenden </w:t>
      </w:r>
      <w:r w:rsidRPr="00866CD1">
        <w:rPr>
          <w:rFonts w:eastAsia="Times New Roman"/>
          <w:i/>
          <w:color w:val="000000"/>
        </w:rPr>
        <w:t>Diabrotica</w:t>
      </w:r>
      <w:r w:rsidRPr="00866CD1">
        <w:rPr>
          <w:rFonts w:eastAsia="Times New Roman"/>
          <w:color w:val="000000"/>
        </w:rPr>
        <w:t>-Käfer pro Flächeneinheit.</w:t>
      </w:r>
    </w:p>
    <w:p w:rsidR="00E272CB" w:rsidRPr="00866CD1" w:rsidRDefault="00E272CB" w:rsidP="00973BAB">
      <w:pPr>
        <w:spacing w:before="270" w:line="276" w:lineRule="auto"/>
        <w:jc w:val="both"/>
        <w:rPr>
          <w:rFonts w:eastAsia="Times New Roman"/>
          <w:color w:val="000000"/>
        </w:rPr>
      </w:pPr>
      <w:r w:rsidRPr="00866CD1">
        <w:rPr>
          <w:rFonts w:eastAsia="Times New Roman"/>
          <w:color w:val="000000"/>
        </w:rPr>
        <w:t>Die seit 2002 in Österreich verwendete Csalamon PAL Pheromon-Klebef</w:t>
      </w:r>
      <w:r>
        <w:rPr>
          <w:rFonts w:eastAsia="Times New Roman"/>
          <w:color w:val="000000"/>
        </w:rPr>
        <w:t>alle kann nur als „M</w:t>
      </w:r>
      <w:r w:rsidRPr="00866CD1">
        <w:rPr>
          <w:rFonts w:eastAsia="Times New Roman"/>
          <w:color w:val="000000"/>
        </w:rPr>
        <w:t xml:space="preserve">ethode zur Erhebung </w:t>
      </w:r>
      <w:r>
        <w:rPr>
          <w:rFonts w:eastAsia="Times New Roman"/>
          <w:color w:val="000000"/>
        </w:rPr>
        <w:t>eines möglichen Schädlingsbefalls</w:t>
      </w:r>
      <w:r w:rsidRPr="00866CD1">
        <w:rPr>
          <w:rFonts w:eastAsia="Times New Roman"/>
          <w:color w:val="000000"/>
        </w:rPr>
        <w:t>“ herangezogen werden. Eine Berechnung der absoluten Käferzahl pro Standort oder Pflanze ist nicht möglich, da die Falle aktiv mittels Sexuallokstoffe</w:t>
      </w:r>
      <w:r>
        <w:rPr>
          <w:rFonts w:eastAsia="Times New Roman"/>
          <w:color w:val="000000"/>
        </w:rPr>
        <w:t>n</w:t>
      </w:r>
      <w:r w:rsidRPr="00866CD1">
        <w:rPr>
          <w:rFonts w:eastAsia="Times New Roman"/>
          <w:color w:val="000000"/>
        </w:rPr>
        <w:t xml:space="preserve"> bzw. mit Duftstoffe, die ad</w:t>
      </w:r>
      <w:r>
        <w:rPr>
          <w:rFonts w:eastAsia="Times New Roman"/>
          <w:color w:val="000000"/>
        </w:rPr>
        <w:t>u</w:t>
      </w:r>
      <w:r w:rsidRPr="00866CD1">
        <w:rPr>
          <w:rFonts w:eastAsia="Times New Roman"/>
          <w:color w:val="000000"/>
        </w:rPr>
        <w:t xml:space="preserve">lten Käfer auch aus der Umgebung anlockt. </w:t>
      </w:r>
    </w:p>
    <w:p w:rsidR="00E272CB" w:rsidRPr="00866CD1" w:rsidRDefault="00E272CB" w:rsidP="00973BAB">
      <w:pPr>
        <w:spacing w:before="270" w:line="276" w:lineRule="auto"/>
        <w:jc w:val="both"/>
        <w:rPr>
          <w:rFonts w:eastAsia="Times New Roman"/>
          <w:color w:val="000000"/>
        </w:rPr>
      </w:pPr>
      <w:r w:rsidRPr="00866CD1">
        <w:rPr>
          <w:rFonts w:eastAsia="Times New Roman"/>
          <w:color w:val="000000"/>
        </w:rPr>
        <w:t xml:space="preserve">Über die Fängigkeit des Fallensystems sind nur bescheidene Informationen zugänglich bzw. publiziert worden: z.B. wurde gemäß einer EU-Studie eine Installation der Fallen in einem Abstand von 30 m bis 40 m, und das an der Maisrandzone, empfohlen. Für das österreichweite </w:t>
      </w:r>
      <w:r w:rsidRPr="00866CD1">
        <w:rPr>
          <w:rFonts w:eastAsia="Times New Roman"/>
          <w:i/>
          <w:color w:val="000000"/>
        </w:rPr>
        <w:t>Diabrotica</w:t>
      </w:r>
      <w:r w:rsidRPr="00866CD1">
        <w:rPr>
          <w:rFonts w:eastAsia="Times New Roman"/>
          <w:color w:val="000000"/>
        </w:rPr>
        <w:t xml:space="preserve"> Monitoring werden meist nur eine bis wenige Fallen pro Region oder politische</w:t>
      </w:r>
      <w:r>
        <w:rPr>
          <w:rFonts w:eastAsia="Times New Roman"/>
          <w:color w:val="000000"/>
        </w:rPr>
        <w:t>n</w:t>
      </w:r>
      <w:r w:rsidRPr="00866CD1">
        <w:rPr>
          <w:rFonts w:eastAsia="Times New Roman"/>
          <w:color w:val="000000"/>
        </w:rPr>
        <w:t xml:space="preserve"> Bezirk verwendet. Eine Standardisierung dieses Monitoring-Systems wäre prinzipiell wünschenswert, wurde bis heute jedoch nur bedingt durchführt. Am Beispiel Alt-Neudörfl konnte festgestellt werden, dass die Käfer von 2017 auf 2018 um mehr als 40 Prozent zugenommen haben. Ausgehend von dieser Beobachtung ist jedoch eine quantitative Aussage über den tatsächlichen Käferdruck für das Umland Bad Radkersburg trotzdem nicht möglich.</w:t>
      </w:r>
    </w:p>
    <w:p w:rsidR="00E272CB" w:rsidRPr="00866CD1" w:rsidRDefault="00E272CB" w:rsidP="009B6BDD">
      <w:pPr>
        <w:pStyle w:val="1Unterkapitel"/>
        <w:rPr>
          <w:rStyle w:val="Fett"/>
        </w:rPr>
      </w:pPr>
      <w:bookmarkStart w:id="385" w:name="_Toc7715647"/>
      <w:r w:rsidRPr="00866CD1">
        <w:rPr>
          <w:rStyle w:val="Fett"/>
        </w:rPr>
        <w:t>Integrierte Pflanzenschutzmaßnahme zur Bekämpfung der Diabrotica-Larven</w:t>
      </w:r>
      <w:bookmarkEnd w:id="385"/>
    </w:p>
    <w:p w:rsidR="00E272CB" w:rsidRPr="00866CD1" w:rsidRDefault="00E272CB" w:rsidP="00973BAB">
      <w:pPr>
        <w:spacing w:before="270" w:line="270" w:lineRule="exact"/>
        <w:ind w:firstLine="709"/>
        <w:jc w:val="both"/>
        <w:rPr>
          <w:rFonts w:eastAsia="Times New Roman"/>
          <w:color w:val="000000"/>
        </w:rPr>
      </w:pPr>
      <w:r w:rsidRPr="00866CD1">
        <w:rPr>
          <w:rFonts w:eastAsia="Times New Roman"/>
          <w:color w:val="000000"/>
        </w:rPr>
        <w:t>Die Fruchtfolge ist als Sofortmaßnahme das probate Mittel um die Populations</w:t>
      </w:r>
      <w:r>
        <w:rPr>
          <w:rFonts w:eastAsia="Times New Roman"/>
          <w:color w:val="000000"/>
        </w:rPr>
        <w:t>d</w:t>
      </w:r>
      <w:r w:rsidRPr="00866CD1">
        <w:rPr>
          <w:rFonts w:eastAsia="Times New Roman"/>
          <w:color w:val="000000"/>
        </w:rPr>
        <w:t xml:space="preserve">ichte nachhaltig in </w:t>
      </w:r>
      <w:r w:rsidRPr="00866CD1">
        <w:rPr>
          <w:rFonts w:eastAsia="Times New Roman"/>
          <w:i/>
          <w:color w:val="000000"/>
        </w:rPr>
        <w:t>Diabrotica</w:t>
      </w:r>
      <w:r w:rsidRPr="00866CD1">
        <w:rPr>
          <w:rFonts w:eastAsia="Times New Roman"/>
          <w:color w:val="000000"/>
        </w:rPr>
        <w:t xml:space="preserve"> - Befallsregionen zu reduzieren. Der hohe Wirkungsgrad dieser Maßnahme ermöglicht eine Reduktion der Käfer im gesamten Befallsgebiet (Reduktion von mehr als 2/3 der Käfer pro Jahr und Fruchtwechsel; Foltin et al., 2014). Je mehr Hektar befallene Ackerfläche in der Region mit Alternativkulturen (also keinen Mais als Nachfrucht) bepflanzt werden, desto größer ist die Auswirkung auf die Gesamtpopulation. Die Fruchtfolge sollte im Idealfall flächendeckend über zwei Jahre eingehalten werden (d.h. 2 Jahre hintereinander kein Mais); würde dies umgesetzt werden, so würde die Population des Maiswurzelbohrers rapide zurückgehen.</w:t>
      </w:r>
    </w:p>
    <w:p w:rsidR="00E272CB" w:rsidRPr="00866CD1" w:rsidRDefault="00E272CB" w:rsidP="00973BAB">
      <w:pPr>
        <w:spacing w:before="270" w:line="276" w:lineRule="auto"/>
        <w:jc w:val="both"/>
        <w:rPr>
          <w:rFonts w:eastAsia="Times New Roman"/>
          <w:color w:val="000000"/>
        </w:rPr>
      </w:pPr>
      <w:r w:rsidRPr="00866CD1">
        <w:rPr>
          <w:rFonts w:eastAsia="Times New Roman"/>
          <w:color w:val="000000"/>
        </w:rPr>
        <w:t>Jede Bekämpfungsmaßnahme ist prinzipiell sinnvoll und sollte unbedingt durchgeführt werden. Beginnend mit einer mechanischen Bodenbearbeitung</w:t>
      </w:r>
      <w:r>
        <w:rPr>
          <w:rFonts w:eastAsia="Times New Roman"/>
          <w:color w:val="000000"/>
        </w:rPr>
        <w:t xml:space="preserve"> bereits </w:t>
      </w:r>
      <w:r w:rsidRPr="00866CD1">
        <w:rPr>
          <w:rFonts w:eastAsia="Times New Roman"/>
          <w:color w:val="000000"/>
        </w:rPr>
        <w:t xml:space="preserve">im Herbst des Schadjahres. Es gilt die Maisstoppeln unbedingt zu zerkleinern und diese noch im Herbst in den Boden einzuarbeiten. Dadurch wird das Überwintern besonders von phytopathogenen Mikroorganismen vorgebeugt. Auch wird durch die Bodenbearbeitung der Lebensraum des Maiswurzelbohrers, aber auch anderer Schädlinge, zerstört (u.a. werden die im Feld abgelegten </w:t>
      </w:r>
      <w:r w:rsidRPr="00866CD1">
        <w:rPr>
          <w:rFonts w:eastAsia="Times New Roman"/>
          <w:i/>
          <w:color w:val="000000"/>
        </w:rPr>
        <w:t>Diabrotica</w:t>
      </w:r>
      <w:r w:rsidRPr="00866CD1">
        <w:rPr>
          <w:rFonts w:eastAsia="Times New Roman"/>
          <w:color w:val="000000"/>
        </w:rPr>
        <w:t>-Eier mechanisch durch Sch</w:t>
      </w:r>
      <w:r>
        <w:rPr>
          <w:rFonts w:eastAsia="Times New Roman"/>
          <w:color w:val="000000"/>
        </w:rPr>
        <w:t>e</w:t>
      </w:r>
      <w:r w:rsidRPr="00866CD1">
        <w:rPr>
          <w:rFonts w:eastAsia="Times New Roman"/>
          <w:color w:val="000000"/>
        </w:rPr>
        <w:t xml:space="preserve">rkräfte und Druck im Boden geschädigt). </w:t>
      </w:r>
    </w:p>
    <w:p w:rsidR="00E272CB" w:rsidRPr="00866CD1" w:rsidRDefault="00E272CB" w:rsidP="00973BAB">
      <w:pPr>
        <w:spacing w:before="270" w:line="276" w:lineRule="auto"/>
        <w:jc w:val="both"/>
        <w:rPr>
          <w:rFonts w:eastAsia="Times New Roman"/>
          <w:color w:val="000000"/>
        </w:rPr>
      </w:pPr>
      <w:r w:rsidRPr="00866CD1">
        <w:rPr>
          <w:rFonts w:eastAsia="Times New Roman"/>
          <w:color w:val="000000"/>
        </w:rPr>
        <w:t>Die Verwendung von biologischen und chemischen Wirkstoffen, alleine oder in Kombination eingesetzt, führen zu einer signifikant geringeren Schädigung der Maispflanze. Wird keine Maßnahme durchgeführt, kommt es vermehrt zu Lagerungsschäden, da die Vielzahl der gesunden, aktiven Larven schon durch den Wurzelfraß die Pflanze schädigen können. Als Beispiel kann die Kontrollfläche Dietzen aus dem Jahr 2016 angeführt werden: keine Maisstoppelbearbeitung im Herbst, keine Wirkstoffbehandlung  – hier war der Lagerungsschaden &gt; 85 Prozent (Abbildung 17).</w:t>
      </w:r>
    </w:p>
    <w:p w:rsidR="00E272CB" w:rsidRPr="00866CD1" w:rsidRDefault="00E272CB" w:rsidP="00973BAB">
      <w:pPr>
        <w:spacing w:before="270" w:line="276" w:lineRule="auto"/>
        <w:jc w:val="both"/>
        <w:rPr>
          <w:rFonts w:eastAsia="Times New Roman"/>
          <w:color w:val="000000"/>
        </w:rPr>
      </w:pPr>
      <w:r w:rsidRPr="00866CD1">
        <w:rPr>
          <w:rFonts w:eastAsia="Times New Roman"/>
          <w:color w:val="000000"/>
        </w:rPr>
        <w:t>Jede Bekämpfungsmaßnahme führte in unseren Studien zu einer signifikanten Reduktion der Käferabundanz und sicherte schlussendlich den erhöhten Maisertrag. Es konnte kein signifikanter Unterschied zwischen den biologischen Pflanzenschutzmaßnahmen und der chemischen Insektizid-Behandlung mit Belem</w:t>
      </w:r>
      <w:r w:rsidRPr="00866CD1">
        <w:rPr>
          <w:rFonts w:eastAsia="Times New Roman"/>
          <w:color w:val="000000"/>
          <w:vertAlign w:val="superscript"/>
        </w:rPr>
        <w:t xml:space="preserve">® </w:t>
      </w:r>
      <w:r w:rsidRPr="00866CD1">
        <w:rPr>
          <w:rFonts w:eastAsia="Times New Roman"/>
          <w:color w:val="000000"/>
        </w:rPr>
        <w:t>festgestellt werden.</w:t>
      </w:r>
      <w:r w:rsidRPr="00866CD1">
        <w:rPr>
          <w:rFonts w:eastAsia="Times New Roman"/>
          <w:color w:val="000000"/>
          <w:vertAlign w:val="superscript"/>
        </w:rPr>
        <w:t xml:space="preserve"> </w:t>
      </w:r>
      <w:r w:rsidRPr="00866CD1">
        <w:rPr>
          <w:rFonts w:eastAsia="Times New Roman"/>
          <w:color w:val="000000"/>
        </w:rPr>
        <w:t>Folglich ist das Nematoden-Produkt dianem</w:t>
      </w:r>
      <w:r w:rsidRPr="00866CD1">
        <w:rPr>
          <w:rFonts w:eastAsia="Times New Roman"/>
          <w:color w:val="000000"/>
          <w:vertAlign w:val="superscript"/>
        </w:rPr>
        <w:t>TM</w:t>
      </w:r>
      <w:r>
        <w:rPr>
          <w:rFonts w:eastAsia="Times New Roman"/>
          <w:color w:val="000000"/>
        </w:rPr>
        <w:t xml:space="preserve"> </w:t>
      </w:r>
      <w:r w:rsidRPr="00866CD1">
        <w:rPr>
          <w:rFonts w:eastAsia="Times New Roman"/>
          <w:color w:val="000000"/>
        </w:rPr>
        <w:t>und das Pilzprodukt GranMet</w:t>
      </w:r>
      <w:r w:rsidRPr="00866CD1">
        <w:rPr>
          <w:rFonts w:eastAsia="Times New Roman"/>
          <w:color w:val="000000"/>
          <w:vertAlign w:val="superscript"/>
        </w:rPr>
        <w:t>TM</w:t>
      </w:r>
      <w:r w:rsidRPr="00866CD1">
        <w:rPr>
          <w:rFonts w:eastAsia="Times New Roman"/>
          <w:color w:val="000000"/>
        </w:rPr>
        <w:t xml:space="preserve"> eine wirkliche Alternative zur Bekämpfung der </w:t>
      </w:r>
      <w:r w:rsidRPr="00866CD1">
        <w:rPr>
          <w:rFonts w:eastAsia="Times New Roman"/>
          <w:i/>
          <w:color w:val="000000"/>
        </w:rPr>
        <w:t>Diabrotica</w:t>
      </w:r>
      <w:r w:rsidRPr="00866CD1">
        <w:rPr>
          <w:rFonts w:eastAsia="Times New Roman"/>
          <w:color w:val="000000"/>
        </w:rPr>
        <w:t>-Larven. Unter Ausnutzung der Synergieeigenscha</w:t>
      </w:r>
      <w:r>
        <w:rPr>
          <w:rFonts w:eastAsia="Times New Roman"/>
          <w:color w:val="000000"/>
        </w:rPr>
        <w:t>ften der verwendeten Wirkstoffe</w:t>
      </w:r>
      <w:r w:rsidRPr="00866CD1">
        <w:rPr>
          <w:rFonts w:eastAsia="Times New Roman"/>
          <w:color w:val="000000"/>
        </w:rPr>
        <w:t xml:space="preserve"> konnte stets der beste Bekämpfungserfolg registriert werden.</w:t>
      </w:r>
    </w:p>
    <w:p w:rsidR="00E272CB" w:rsidRPr="00866CD1" w:rsidRDefault="00E272CB" w:rsidP="009B6BDD">
      <w:pPr>
        <w:pStyle w:val="1Unterkapitel"/>
        <w:rPr>
          <w:rStyle w:val="Fett"/>
        </w:rPr>
      </w:pPr>
      <w:bookmarkStart w:id="386" w:name="_Toc7715648"/>
      <w:r w:rsidRPr="00866CD1">
        <w:rPr>
          <w:rStyle w:val="Fett"/>
        </w:rPr>
        <w:t xml:space="preserve">Biologische Käferbekämpfung mit </w:t>
      </w:r>
      <w:r w:rsidRPr="00866CD1">
        <w:rPr>
          <w:rStyle w:val="Fett"/>
          <w:i/>
        </w:rPr>
        <w:t>Metarhizium</w:t>
      </w:r>
      <w:bookmarkEnd w:id="386"/>
    </w:p>
    <w:p w:rsidR="00E272CB" w:rsidRPr="00866CD1" w:rsidRDefault="00E272CB" w:rsidP="0098503C">
      <w:pPr>
        <w:spacing w:before="270" w:line="270" w:lineRule="exact"/>
        <w:jc w:val="both"/>
        <w:rPr>
          <w:rFonts w:eastAsia="Times New Roman"/>
          <w:color w:val="000000"/>
        </w:rPr>
      </w:pPr>
      <w:r w:rsidRPr="00866CD1">
        <w:rPr>
          <w:rFonts w:eastAsia="Times New Roman"/>
          <w:color w:val="000000"/>
        </w:rPr>
        <w:t xml:space="preserve">Alternativprodukte zur Bekämpfung der </w:t>
      </w:r>
      <w:r w:rsidRPr="00866CD1">
        <w:rPr>
          <w:rFonts w:eastAsia="Times New Roman"/>
          <w:i/>
          <w:color w:val="000000"/>
        </w:rPr>
        <w:t>Diabrotica</w:t>
      </w:r>
      <w:r w:rsidRPr="00866CD1">
        <w:rPr>
          <w:rFonts w:eastAsia="Times New Roman"/>
          <w:color w:val="000000"/>
        </w:rPr>
        <w:t xml:space="preserve"> - Käfer auf Basis biologischer Wirkstoffe wäre</w:t>
      </w:r>
      <w:r>
        <w:rPr>
          <w:rFonts w:eastAsia="Times New Roman"/>
          <w:color w:val="000000"/>
        </w:rPr>
        <w:t>n</w:t>
      </w:r>
      <w:r w:rsidRPr="00866CD1">
        <w:rPr>
          <w:rFonts w:eastAsia="Times New Roman"/>
          <w:color w:val="000000"/>
        </w:rPr>
        <w:t xml:space="preserve"> wünschenswert, zurzeit sind jedoch keine biologischen Schädlingsbekämpfungsmittel verfügbar. </w:t>
      </w:r>
      <w:r w:rsidR="0098503C">
        <w:rPr>
          <w:rFonts w:eastAsia="Times New Roman"/>
          <w:color w:val="000000"/>
        </w:rPr>
        <w:t>Aufgrund erster</w:t>
      </w:r>
      <w:r w:rsidRPr="00866CD1">
        <w:rPr>
          <w:rFonts w:eastAsia="Times New Roman"/>
          <w:color w:val="000000"/>
        </w:rPr>
        <w:t xml:space="preserve"> Entwicklungsarbeiten</w:t>
      </w:r>
      <w:r w:rsidR="0098503C">
        <w:rPr>
          <w:rFonts w:eastAsia="Times New Roman"/>
          <w:color w:val="000000"/>
        </w:rPr>
        <w:t xml:space="preserve"> geht die</w:t>
      </w:r>
      <w:r>
        <w:rPr>
          <w:rFonts w:eastAsia="Times New Roman"/>
          <w:color w:val="000000"/>
        </w:rPr>
        <w:t xml:space="preserve"> Universität Innsbruck</w:t>
      </w:r>
      <w:r w:rsidRPr="00866CD1">
        <w:rPr>
          <w:rFonts w:eastAsia="Times New Roman"/>
          <w:color w:val="000000"/>
        </w:rPr>
        <w:t xml:space="preserve"> </w:t>
      </w:r>
      <w:r w:rsidR="0098503C">
        <w:rPr>
          <w:rFonts w:eastAsia="Times New Roman"/>
          <w:color w:val="000000"/>
        </w:rPr>
        <w:t>davon aus</w:t>
      </w:r>
      <w:r w:rsidRPr="00866CD1">
        <w:rPr>
          <w:rFonts w:eastAsia="Times New Roman"/>
          <w:color w:val="000000"/>
        </w:rPr>
        <w:t xml:space="preserve">, dass der insektentötende Pilz </w:t>
      </w:r>
      <w:r w:rsidRPr="00866CD1">
        <w:rPr>
          <w:rFonts w:eastAsia="Times New Roman"/>
          <w:i/>
          <w:color w:val="000000"/>
        </w:rPr>
        <w:t>Metarhizium</w:t>
      </w:r>
      <w:r w:rsidRPr="00866CD1">
        <w:rPr>
          <w:rFonts w:eastAsia="Times New Roman"/>
          <w:color w:val="000000"/>
        </w:rPr>
        <w:t>, in entsprechender Formulierung angewendet</w:t>
      </w:r>
      <w:r w:rsidR="0098503C">
        <w:rPr>
          <w:rFonts w:eastAsia="Times New Roman"/>
          <w:color w:val="000000"/>
        </w:rPr>
        <w:t>,</w:t>
      </w:r>
      <w:r w:rsidRPr="00866CD1">
        <w:rPr>
          <w:rFonts w:eastAsia="Times New Roman"/>
          <w:color w:val="000000"/>
        </w:rPr>
        <w:t xml:space="preserve"> zur oberirdischen Käferbehandlung eingesetzt werden k</w:t>
      </w:r>
      <w:r>
        <w:rPr>
          <w:rFonts w:eastAsia="Times New Roman"/>
          <w:color w:val="000000"/>
        </w:rPr>
        <w:t>önnte</w:t>
      </w:r>
      <w:r w:rsidRPr="00866CD1">
        <w:rPr>
          <w:rFonts w:eastAsia="Times New Roman"/>
          <w:color w:val="000000"/>
        </w:rPr>
        <w:t xml:space="preserve">. Erste positive Ergebnisse zeugen von einem vielversprechenden Potential (Strasser, 2017) – ein DIACONT Folgeantrag wäre wünschenswert und </w:t>
      </w:r>
      <w:r w:rsidR="0098503C">
        <w:rPr>
          <w:rFonts w:eastAsia="Times New Roman"/>
          <w:color w:val="000000"/>
        </w:rPr>
        <w:t xml:space="preserve">ist </w:t>
      </w:r>
      <w:r w:rsidRPr="00866CD1">
        <w:rPr>
          <w:rFonts w:eastAsia="Times New Roman"/>
          <w:color w:val="000000"/>
        </w:rPr>
        <w:t>schon in Planung.</w:t>
      </w:r>
    </w:p>
    <w:p w:rsidR="00E272CB" w:rsidRPr="00866CD1" w:rsidRDefault="00E272CB" w:rsidP="009B6BDD">
      <w:pPr>
        <w:pStyle w:val="1Unterkapitel"/>
        <w:rPr>
          <w:rStyle w:val="Fett"/>
        </w:rPr>
      </w:pPr>
      <w:bookmarkStart w:id="387" w:name="_Toc7715649"/>
      <w:r w:rsidRPr="00866CD1">
        <w:rPr>
          <w:rStyle w:val="Fett"/>
        </w:rPr>
        <w:t>Antragstellung auf Zulassung bei Gefahr in Verzug (Artikel 53 der Verordnung (EG) Nr. 1107/2009)</w:t>
      </w:r>
      <w:bookmarkEnd w:id="387"/>
    </w:p>
    <w:p w:rsidR="00E272CB" w:rsidRDefault="00E272CB" w:rsidP="0098503C">
      <w:pPr>
        <w:spacing w:before="270" w:line="270" w:lineRule="exact"/>
        <w:jc w:val="both"/>
        <w:rPr>
          <w:rFonts w:eastAsia="Times New Roman"/>
          <w:color w:val="000000"/>
        </w:rPr>
      </w:pPr>
      <w:r w:rsidRPr="0098503C">
        <w:rPr>
          <w:rFonts w:eastAsia="Times New Roman"/>
          <w:color w:val="000000"/>
        </w:rPr>
        <w:t>Gemäß den Empfehlung der EPPO ExpertInnen (EPPO Richtlinie 2017</w:t>
      </w:r>
      <w:r w:rsidRPr="0098503C">
        <w:rPr>
          <w:rFonts w:ascii="AdvPSHEL" w:eastAsia="Times New Roman" w:hAnsi="AdvPSHEL" w:cs="AdvPSHEL"/>
          <w:color w:val="000000"/>
          <w:sz w:val="16"/>
          <w:szCs w:val="16"/>
          <w:lang w:eastAsia="de-AT"/>
        </w:rPr>
        <w:t>)</w:t>
      </w:r>
      <w:r w:rsidRPr="0098503C">
        <w:rPr>
          <w:rFonts w:eastAsia="Times New Roman"/>
          <w:color w:val="000000"/>
        </w:rPr>
        <w:t>, sowie auch der ExpertInnen der Landwirtschaftskammer Österreich (</w:t>
      </w:r>
      <w:hyperlink r:id="rId142" w:history="1">
        <w:r w:rsidRPr="00871DEE">
          <w:rPr>
            <w:rFonts w:eastAsia="Times New Roman"/>
            <w:sz w:val="22"/>
            <w:szCs w:val="22"/>
          </w:rPr>
          <w:t>warndienst.lko.at/</w:t>
        </w:r>
      </w:hyperlink>
      <w:r w:rsidRPr="0098503C">
        <w:rPr>
          <w:rFonts w:eastAsia="Times New Roman"/>
          <w:color w:val="000000"/>
        </w:rPr>
        <w:t xml:space="preserve">maiswurzelbohrer...), kann zusätzlich zu allen aufgelisteten Gegenmaßnahmen auch die Anwendung des insektentötenden Pilzes </w:t>
      </w:r>
      <w:r w:rsidRPr="0098503C">
        <w:rPr>
          <w:rFonts w:eastAsia="Times New Roman"/>
          <w:i/>
          <w:color w:val="000000"/>
        </w:rPr>
        <w:t>Metarhizium brunneum</w:t>
      </w:r>
      <w:r w:rsidRPr="0098503C">
        <w:rPr>
          <w:rFonts w:eastAsia="Times New Roman"/>
          <w:color w:val="000000"/>
        </w:rPr>
        <w:t xml:space="preserve"> BIPESCO 5 empfohlen werden. Der Einsatz des Pilzes wäre jedoch zurzeit nur möglich, wenn es eine Notfalls </w:t>
      </w:r>
      <w:r w:rsidRPr="000E7FDF">
        <w:rPr>
          <w:rFonts w:eastAsia="Times New Roman"/>
          <w:color w:val="000000"/>
        </w:rPr>
        <w:t>Zulassung des Mittels GranMet</w:t>
      </w:r>
      <w:r w:rsidRPr="000E7FDF">
        <w:rPr>
          <w:rFonts w:eastAsia="Times New Roman"/>
          <w:color w:val="000000"/>
          <w:vertAlign w:val="superscript"/>
        </w:rPr>
        <w:t>TM</w:t>
      </w:r>
      <w:r w:rsidRPr="000E7FDF">
        <w:rPr>
          <w:rFonts w:eastAsia="Times New Roman"/>
          <w:color w:val="000000"/>
        </w:rPr>
        <w:t xml:space="preserve"> gibt. </w:t>
      </w:r>
      <w:r w:rsidR="000E7FDF" w:rsidRPr="000E7FDF">
        <w:rPr>
          <w:rFonts w:eastAsia="Times New Roman"/>
          <w:color w:val="000000"/>
        </w:rPr>
        <w:t xml:space="preserve">Die Arbeitsgruppe Bipesco (Universität Innsbruck) ruft </w:t>
      </w:r>
      <w:r w:rsidRPr="000E7FDF">
        <w:rPr>
          <w:rFonts w:eastAsia="Times New Roman"/>
          <w:color w:val="000000"/>
        </w:rPr>
        <w:t>alle ExpertInnen der Landwirtschaftskammern in Österreich, einschlägige Fachberater, sowie landwirtschaftliche Interessensvertreter auf, konkret für die befallene Maisanbaugebiete die Zulassung für das Produkt GranMet</w:t>
      </w:r>
      <w:r w:rsidRPr="000E7FDF">
        <w:rPr>
          <w:rFonts w:eastAsia="Times New Roman"/>
          <w:color w:val="000000"/>
          <w:vertAlign w:val="superscript"/>
        </w:rPr>
        <w:t>TM</w:t>
      </w:r>
      <w:r w:rsidRPr="000E7FDF">
        <w:rPr>
          <w:rFonts w:eastAsia="Times New Roman"/>
          <w:color w:val="000000"/>
        </w:rPr>
        <w:t xml:space="preserve"> einzufordern.</w:t>
      </w:r>
    </w:p>
    <w:p w:rsidR="00E272CB" w:rsidRDefault="00E272CB" w:rsidP="00E272CB">
      <w:pPr>
        <w:spacing w:before="270" w:line="270" w:lineRule="exact"/>
        <w:ind w:firstLine="709"/>
        <w:rPr>
          <w:rFonts w:eastAsia="Times New Roman"/>
          <w:color w:val="000000"/>
        </w:rPr>
      </w:pPr>
    </w:p>
    <w:p w:rsidR="007E3565" w:rsidRDefault="007E3565" w:rsidP="007E3565">
      <w:pPr>
        <w:pStyle w:val="FlietextEinleitung"/>
      </w:pPr>
    </w:p>
    <w:p w:rsidR="00723B9B" w:rsidRDefault="00723B9B" w:rsidP="009D5C84">
      <w:pPr>
        <w:spacing w:before="270" w:line="270" w:lineRule="exact"/>
        <w:rPr>
          <w:rFonts w:eastAsia="Times New Roman"/>
          <w:color w:val="000000"/>
        </w:rPr>
        <w:sectPr w:rsidR="00723B9B" w:rsidSect="00723B9B">
          <w:headerReference w:type="default" r:id="rId143"/>
          <w:headerReference w:type="first" r:id="rId144"/>
          <w:pgSz w:w="11900" w:h="16840"/>
          <w:pgMar w:top="1361" w:right="1361" w:bottom="1361" w:left="1361" w:header="680" w:footer="680" w:gutter="0"/>
          <w:cols w:space="708"/>
          <w:titlePg/>
        </w:sectPr>
      </w:pPr>
    </w:p>
    <w:p w:rsidR="00402D84" w:rsidRDefault="00723B9B" w:rsidP="00402D84">
      <w:pPr>
        <w:pStyle w:val="berschrift118pt"/>
        <w:rPr>
          <w:lang w:val="en-US"/>
        </w:rPr>
      </w:pPr>
      <w:bookmarkStart w:id="388" w:name="_Toc532311642"/>
      <w:bookmarkStart w:id="389" w:name="_Toc7715650"/>
      <w:r>
        <w:rPr>
          <w:lang w:val="en-US"/>
        </w:rPr>
        <w:t>Literatur</w:t>
      </w:r>
      <w:bookmarkEnd w:id="388"/>
      <w:bookmarkEnd w:id="389"/>
    </w:p>
    <w:p w:rsidR="0028751F" w:rsidRPr="0028751F" w:rsidRDefault="0028751F" w:rsidP="007D1FA8">
      <w:pPr>
        <w:pStyle w:val="Aufzhlung"/>
        <w:numPr>
          <w:ilvl w:val="0"/>
          <w:numId w:val="0"/>
        </w:numPr>
        <w:spacing w:before="0" w:after="0"/>
        <w:rPr>
          <w:lang w:val="en-US"/>
        </w:rPr>
      </w:pPr>
    </w:p>
    <w:p w:rsidR="0028751F" w:rsidRPr="007D1FA8" w:rsidRDefault="0028751F" w:rsidP="0028751F">
      <w:pPr>
        <w:pStyle w:val="Aufzhlung"/>
        <w:numPr>
          <w:ilvl w:val="0"/>
          <w:numId w:val="1"/>
        </w:numPr>
        <w:spacing w:before="0" w:after="0"/>
      </w:pPr>
      <w:bookmarkStart w:id="390" w:name="57"/>
      <w:r w:rsidRPr="00841977">
        <w:rPr>
          <w:lang w:val="en-US"/>
        </w:rPr>
        <w:t xml:space="preserve">Ekbom, B. S., (1979). Investigations on the potential of a parasitic fungus (Verticillium lecanii ) for the biological control of the greenhouse whitefly (Trialeurodes vaporarium). </w:t>
      </w:r>
      <w:r w:rsidRPr="007D1FA8">
        <w:t>Swedish J. Agric. Res. 9, 129-138.</w:t>
      </w:r>
      <w:bookmarkEnd w:id="390"/>
    </w:p>
    <w:p w:rsidR="00723B9B" w:rsidRPr="00841977" w:rsidRDefault="00723B9B" w:rsidP="0028751F">
      <w:pPr>
        <w:pStyle w:val="Aufzhlung"/>
        <w:numPr>
          <w:ilvl w:val="0"/>
          <w:numId w:val="1"/>
        </w:numPr>
        <w:spacing w:before="0" w:after="0"/>
        <w:rPr>
          <w:lang w:val="en-US"/>
        </w:rPr>
      </w:pPr>
      <w:r w:rsidRPr="00841977">
        <w:rPr>
          <w:lang w:val="en-US"/>
        </w:rPr>
        <w:t>FAO, Guidelines on Efficacy Evaluation for the Registration of Plant Protection Products. Food and Agriculture Organization of the United Nations, Rome, Italy (2006) http://www.fao.org/fileadmin/ templates/agphome/documents/Pests_Pesticides/Code/Efficacy .pdf</w:t>
      </w:r>
    </w:p>
    <w:p w:rsidR="00723B9B" w:rsidRPr="007D1FA8" w:rsidRDefault="00723B9B" w:rsidP="0028751F">
      <w:pPr>
        <w:pStyle w:val="Aufzhlung"/>
        <w:numPr>
          <w:ilvl w:val="0"/>
          <w:numId w:val="1"/>
        </w:numPr>
        <w:spacing w:before="0" w:after="0"/>
      </w:pPr>
      <w:r w:rsidRPr="00866CD1">
        <w:t xml:space="preserve">Foltin, K., Robier, J., Eberdorfer, D., Kahrer, A. und Winter, S. (2014). </w:t>
      </w:r>
      <w:r w:rsidRPr="00841977">
        <w:rPr>
          <w:lang w:val="en-US"/>
        </w:rPr>
        <w:t xml:space="preserve">Western corn rootworm Diabrotica virgifera virgifera LeConte: Long-term studies on control strategies, population dynamic, host plants, control thresholds, und soil cultivation. </w:t>
      </w:r>
      <w:r w:rsidRPr="007D1FA8">
        <w:t>Austrian Association for Integrated Pest Management 55: 11-15.</w:t>
      </w:r>
    </w:p>
    <w:p w:rsidR="0028751F" w:rsidRPr="0028751F" w:rsidRDefault="0028751F" w:rsidP="0028751F">
      <w:pPr>
        <w:pStyle w:val="Aufzhlung"/>
        <w:numPr>
          <w:ilvl w:val="0"/>
          <w:numId w:val="1"/>
        </w:numPr>
        <w:spacing w:before="0" w:after="0"/>
      </w:pPr>
      <w:r w:rsidRPr="0028751F">
        <w:t xml:space="preserve">Goettel, M. S. et al., (2008). </w:t>
      </w:r>
      <w:r w:rsidRPr="00841977">
        <w:rPr>
          <w:lang w:val="en-US"/>
        </w:rPr>
        <w:t xml:space="preserve">Potential of Lecanicillium spp. for management of insects, nematodes and plant diseases. </w:t>
      </w:r>
      <w:r w:rsidRPr="0028751F">
        <w:t>Journal of Invertebrate Pathology 98, 256-261.</w:t>
      </w:r>
    </w:p>
    <w:p w:rsidR="0028751F" w:rsidRPr="00841977" w:rsidRDefault="0028751F" w:rsidP="007D1FA8">
      <w:pPr>
        <w:pStyle w:val="Aufzhlung"/>
        <w:numPr>
          <w:ilvl w:val="0"/>
          <w:numId w:val="1"/>
        </w:numPr>
        <w:spacing w:before="0" w:after="0"/>
        <w:rPr>
          <w:lang w:val="en-US"/>
        </w:rPr>
      </w:pPr>
      <w:r w:rsidRPr="00841977">
        <w:rPr>
          <w:lang w:val="en-US"/>
        </w:rPr>
        <w:t>HALL R. A., 1981: The fungus Verticillium lecanii as a microbial insecticide against aphids and scales. Microbial Control of Pests and Plant Diseases 1970-1980 (ed. H. D. Burges), Academic Press, London, pp. 483-98.</w:t>
      </w:r>
    </w:p>
    <w:p w:rsidR="00723B9B" w:rsidRPr="00841977" w:rsidRDefault="00723B9B" w:rsidP="0028751F">
      <w:pPr>
        <w:pStyle w:val="Aufzhlung"/>
        <w:numPr>
          <w:ilvl w:val="0"/>
          <w:numId w:val="1"/>
        </w:numPr>
        <w:spacing w:before="0" w:after="0"/>
        <w:rPr>
          <w:lang w:val="en-US"/>
        </w:rPr>
      </w:pPr>
      <w:r w:rsidRPr="00841977">
        <w:rPr>
          <w:lang w:val="en-US"/>
        </w:rPr>
        <w:t>IWGO Newsletter XXVI / 2 (2005). Procedure/protocol for hand harvesting maize to estimate yields in research studies/tests.pp:1-11.</w:t>
      </w:r>
    </w:p>
    <w:p w:rsidR="007D1FA8" w:rsidRPr="007D1FA8" w:rsidRDefault="007D1FA8" w:rsidP="007D1FA8">
      <w:pPr>
        <w:pStyle w:val="Aufzhlung"/>
        <w:numPr>
          <w:ilvl w:val="0"/>
          <w:numId w:val="1"/>
        </w:numPr>
        <w:spacing w:before="0" w:after="0"/>
      </w:pPr>
      <w:r w:rsidRPr="00841977">
        <w:rPr>
          <w:lang w:val="en-US"/>
        </w:rPr>
        <w:t xml:space="preserve">Kanagaratnam P., Hall R. A. and Burges H. D.,(1982). Control of glasshouse whitefly, Trialeurodes vaporariorum by an aphid strain of the fungus, Verticillium lecanii. </w:t>
      </w:r>
      <w:r w:rsidRPr="007D1FA8">
        <w:t>Annals of Applied Biology, 111: 213-219.</w:t>
      </w:r>
    </w:p>
    <w:p w:rsidR="00723B9B" w:rsidRDefault="00723B9B" w:rsidP="0028751F">
      <w:pPr>
        <w:pStyle w:val="Aufzhlung"/>
        <w:numPr>
          <w:ilvl w:val="0"/>
          <w:numId w:val="1"/>
        </w:numPr>
        <w:spacing w:before="0" w:after="0"/>
      </w:pPr>
      <w:r w:rsidRPr="007D1FA8">
        <w:t>Klug, P. (2014). Geselliges Treiben</w:t>
      </w:r>
      <w:r w:rsidRPr="00866CD1">
        <w:t xml:space="preserve">: der Maiswurzelbohrer wird heimisch. Der Pflanzenarzt 3: 12-14. </w:t>
      </w:r>
    </w:p>
    <w:p w:rsidR="0028751F" w:rsidRPr="0028751F" w:rsidRDefault="0028751F" w:rsidP="007D1FA8">
      <w:pPr>
        <w:pStyle w:val="Aufzhlung"/>
        <w:numPr>
          <w:ilvl w:val="0"/>
          <w:numId w:val="1"/>
        </w:numPr>
        <w:spacing w:before="0" w:after="0"/>
      </w:pPr>
      <w:r w:rsidRPr="007D1FA8">
        <w:t xml:space="preserve">Koppert, Mycotal: https://www.koppertbio.de/schaedlinge/thrips/zur-bekampfung/mycotal/ </w:t>
      </w:r>
    </w:p>
    <w:p w:rsidR="00723B9B" w:rsidRPr="00866CD1" w:rsidRDefault="00723B9B" w:rsidP="0028751F">
      <w:pPr>
        <w:pStyle w:val="Aufzhlung"/>
        <w:numPr>
          <w:ilvl w:val="0"/>
          <w:numId w:val="1"/>
        </w:numPr>
        <w:spacing w:before="0" w:after="0"/>
      </w:pPr>
      <w:r w:rsidRPr="00866CD1">
        <w:t xml:space="preserve">Laengle, T., Pernfuss, B., Seger, C. und Strasser, H. (2005). </w:t>
      </w:r>
      <w:r w:rsidRPr="00841977">
        <w:rPr>
          <w:lang w:val="en-US"/>
        </w:rPr>
        <w:t xml:space="preserve">Field efficacy evaluation of Beauveria brongniartii (Sacc.) </w:t>
      </w:r>
      <w:r w:rsidRPr="00866CD1">
        <w:t xml:space="preserve">Petch against Melolontha melolontha L. in potato cultures. Sydowia 57 (1): 54-93. </w:t>
      </w:r>
    </w:p>
    <w:p w:rsidR="00723B9B" w:rsidRPr="007D1FA8" w:rsidRDefault="00723B9B" w:rsidP="0028751F">
      <w:pPr>
        <w:pStyle w:val="Aufzhlung"/>
        <w:numPr>
          <w:ilvl w:val="0"/>
          <w:numId w:val="1"/>
        </w:numPr>
        <w:spacing w:before="0" w:after="0"/>
      </w:pPr>
      <w:r w:rsidRPr="00866CD1">
        <w:t xml:space="preserve">Mayerhofer, J., Lutz, A., Widmer, F., Rehner, S. A., Leuchtmann, A. und Enkerli, J. (2015). </w:t>
      </w:r>
      <w:r w:rsidRPr="00841977">
        <w:rPr>
          <w:lang w:val="en-US"/>
        </w:rPr>
        <w:t xml:space="preserve">Multiplexed microsatellite markers for seven Metarhizium species. J. Invertebr. Pathol. </w:t>
      </w:r>
      <w:r w:rsidRPr="007D1FA8">
        <w:t>132: 132-134.</w:t>
      </w:r>
    </w:p>
    <w:p w:rsidR="007D1FA8" w:rsidRPr="007D1FA8" w:rsidRDefault="007D1FA8" w:rsidP="007D1FA8">
      <w:pPr>
        <w:pStyle w:val="Aufzhlung"/>
        <w:numPr>
          <w:ilvl w:val="0"/>
          <w:numId w:val="1"/>
        </w:numPr>
        <w:spacing w:before="0" w:after="0"/>
      </w:pPr>
      <w:r w:rsidRPr="00841977">
        <w:rPr>
          <w:lang w:val="en-US"/>
        </w:rPr>
        <w:t xml:space="preserve">Meyer S. L. F., Meyer R. J., (1996). Greenhouse studies comparing strains of the fungus Verticillium lecanii for activity against the nematode Heterodera glycines. </w:t>
      </w:r>
      <w:r w:rsidRPr="007D1FA8">
        <w:t xml:space="preserve">Fundam. Appl. Nematol. 19, 305-308. </w:t>
      </w:r>
    </w:p>
    <w:p w:rsidR="00723B9B" w:rsidRPr="007D1FA8" w:rsidRDefault="00723B9B" w:rsidP="0028751F">
      <w:pPr>
        <w:pStyle w:val="Aufzhlung"/>
        <w:numPr>
          <w:ilvl w:val="0"/>
          <w:numId w:val="1"/>
        </w:numPr>
        <w:spacing w:before="0" w:after="0"/>
      </w:pPr>
      <w:r w:rsidRPr="00841977">
        <w:rPr>
          <w:lang w:val="en-US"/>
        </w:rPr>
        <w:t xml:space="preserve">OEPP/EPPO (2011). Diabrotica virgifera – larvae. </w:t>
      </w:r>
      <w:r w:rsidRPr="007D1FA8">
        <w:t>Bulletin OEPP/EPPO. Bulletin 41: 272–275.</w:t>
      </w:r>
    </w:p>
    <w:p w:rsidR="00723B9B" w:rsidRPr="007D1FA8" w:rsidRDefault="00723B9B" w:rsidP="0028751F">
      <w:pPr>
        <w:pStyle w:val="Aufzhlung"/>
        <w:numPr>
          <w:ilvl w:val="0"/>
          <w:numId w:val="1"/>
        </w:numPr>
        <w:spacing w:before="0" w:after="0"/>
      </w:pPr>
      <w:r w:rsidRPr="00841977">
        <w:rPr>
          <w:lang w:val="en-US"/>
        </w:rPr>
        <w:t xml:space="preserve">OEPP/EPPO (2011). Diabrotica virgifera - adults. </w:t>
      </w:r>
      <w:r w:rsidRPr="007D1FA8">
        <w:t>Bulletin OEPP/EPPO. Bulletin 41: 276–278.</w:t>
      </w:r>
    </w:p>
    <w:p w:rsidR="00723B9B" w:rsidRPr="00866CD1" w:rsidRDefault="00723B9B" w:rsidP="0028751F">
      <w:pPr>
        <w:pStyle w:val="Aufzhlung"/>
        <w:numPr>
          <w:ilvl w:val="0"/>
          <w:numId w:val="1"/>
        </w:numPr>
        <w:spacing w:before="0" w:after="0"/>
      </w:pPr>
      <w:r w:rsidRPr="00841977">
        <w:rPr>
          <w:lang w:val="en-US"/>
        </w:rPr>
        <w:t xml:space="preserve">OEPP/EPPO (2017). Principles of efficacy evaluation for low-risk plant protection products, Bulletin OEPP/EPPO. </w:t>
      </w:r>
      <w:r w:rsidRPr="00866CD1">
        <w:t xml:space="preserve">Bulletin (2017) 47 (3): 297–304. </w:t>
      </w:r>
    </w:p>
    <w:p w:rsidR="00723B9B" w:rsidRDefault="00723B9B" w:rsidP="0028751F">
      <w:pPr>
        <w:pStyle w:val="Aufzhlung"/>
        <w:numPr>
          <w:ilvl w:val="0"/>
          <w:numId w:val="1"/>
        </w:numPr>
        <w:spacing w:before="0" w:after="0"/>
      </w:pPr>
      <w:r w:rsidRPr="00841977">
        <w:rPr>
          <w:lang w:val="en-US"/>
        </w:rPr>
        <w:t xml:space="preserve">Pabst, C. O. (2018). Efficacy and robustness of Metarhizium brunneum formulations tested in pot trials to control the maize pest Diabrotica virgifera virgifera. </w:t>
      </w:r>
      <w:r w:rsidRPr="00866CD1">
        <w:t>Master Thesis, Leopold-Franzens Universität Innsbruck: pp. 74.</w:t>
      </w:r>
    </w:p>
    <w:p w:rsidR="009D5C84" w:rsidRPr="007D1FA8" w:rsidRDefault="009D5C84" w:rsidP="007D1FA8">
      <w:pPr>
        <w:pStyle w:val="Aufzhlung"/>
        <w:numPr>
          <w:ilvl w:val="0"/>
          <w:numId w:val="1"/>
        </w:numPr>
        <w:spacing w:before="0" w:after="0"/>
      </w:pPr>
      <w:r w:rsidRPr="00FF1809">
        <w:t xml:space="preserve">Pilz C., Toepfer S., Knuth P., Strimitzer T., Heimbach U.  </w:t>
      </w:r>
      <w:r w:rsidRPr="00841977">
        <w:rPr>
          <w:lang w:val="en-US"/>
        </w:rPr>
        <w:t xml:space="preserve">&amp; Grabenweger G. Persistence of the entomoparasitic nematode Heterorhabditis bacteriophora in maize </w:t>
      </w:r>
      <w:r w:rsidRPr="00FF1809">
        <w:t>ﬁ</w:t>
      </w:r>
      <w:r w:rsidRPr="00841977">
        <w:rPr>
          <w:lang w:val="en-US"/>
        </w:rPr>
        <w:t xml:space="preserve">elds. </w:t>
      </w:r>
      <w:r w:rsidRPr="007D1FA8">
        <w:t>J. Appl. Entomol. 138 (2014) 202–212</w:t>
      </w:r>
    </w:p>
    <w:p w:rsidR="009D5C84" w:rsidRPr="007D1FA8" w:rsidRDefault="009D5C84" w:rsidP="007D1FA8">
      <w:pPr>
        <w:pStyle w:val="Aufzhlung"/>
        <w:numPr>
          <w:ilvl w:val="0"/>
          <w:numId w:val="1"/>
        </w:numPr>
        <w:spacing w:before="0" w:after="0"/>
      </w:pPr>
      <w:r w:rsidRPr="00841977">
        <w:rPr>
          <w:lang w:val="en-US"/>
        </w:rPr>
        <w:t xml:space="preserve">Preisser E. L, Dugaw C. J, Dennis B., Strong D. R. Long-Term Survival of the Entomopathogenic Nematode Heterorhabditis marelatus. </w:t>
      </w:r>
      <w:r w:rsidRPr="007D1FA8">
        <w:t>Environ. Entomol. 34(6): 1501-1506 (2005)</w:t>
      </w:r>
    </w:p>
    <w:p w:rsidR="00723B9B" w:rsidRPr="007D1FA8" w:rsidRDefault="00723B9B" w:rsidP="0028751F">
      <w:pPr>
        <w:pStyle w:val="Aufzhlung"/>
        <w:numPr>
          <w:ilvl w:val="0"/>
          <w:numId w:val="1"/>
        </w:numPr>
        <w:spacing w:before="0" w:after="0"/>
      </w:pPr>
      <w:r w:rsidRPr="00866CD1">
        <w:t xml:space="preserve">Rauch, H., Steinwender, B.M., Mayerhofer, J., Sigsgaard, L., Eilenberg, J., Enkerli, J., Zelger, R. und Strasser, H. (2017). </w:t>
      </w:r>
      <w:r w:rsidRPr="00841977">
        <w:rPr>
          <w:lang w:val="en-US"/>
        </w:rPr>
        <w:t xml:space="preserve">Efficacy assessment of Heterorhabditis bacteriophora (Nematoda: Heterorhabditidae), Metarhizium brunneum (Hypocreales: Clavicipitaceae), and chemical insecticides for Diabrotica virgifera virgifera larval management under real farm conditions. </w:t>
      </w:r>
      <w:r w:rsidRPr="007D1FA8">
        <w:t>Biol. Cont. 107: 1-10.</w:t>
      </w:r>
    </w:p>
    <w:p w:rsidR="00723B9B" w:rsidRDefault="00723B9B" w:rsidP="0028751F">
      <w:pPr>
        <w:pStyle w:val="Aufzhlung"/>
        <w:numPr>
          <w:ilvl w:val="0"/>
          <w:numId w:val="1"/>
        </w:numPr>
        <w:spacing w:before="0" w:after="0"/>
      </w:pPr>
      <w:r w:rsidRPr="00CE0F93">
        <w:t xml:space="preserve">Rauch, H., Zelger, R. und Strasser, H. (2016). </w:t>
      </w:r>
      <w:r w:rsidRPr="00841977">
        <w:rPr>
          <w:lang w:val="en-US"/>
        </w:rPr>
        <w:t xml:space="preserve">Highly efficient field emergence trap for quantitative adult western corn rootworm monitoring. </w:t>
      </w:r>
      <w:r w:rsidRPr="00866CD1">
        <w:t>J. Kansas Entomol. Soc. 89 (3): 256-266.</w:t>
      </w:r>
    </w:p>
    <w:p w:rsidR="007D1FA8" w:rsidRPr="007D1FA8" w:rsidRDefault="007D1FA8" w:rsidP="007D1FA8">
      <w:pPr>
        <w:pStyle w:val="Aufzhlung"/>
        <w:numPr>
          <w:ilvl w:val="0"/>
          <w:numId w:val="1"/>
        </w:numPr>
        <w:spacing w:before="0" w:after="0"/>
      </w:pPr>
      <w:r w:rsidRPr="00841977">
        <w:rPr>
          <w:lang w:val="en-US"/>
        </w:rPr>
        <w:t xml:space="preserve">Shinde, S. V., Patel K. G., Purohit M. S., Pandaya J. R., Sabalpara A. N., (2010). „Lecanicillium lecanii (Zimm.) Zare and Games” an important biocontrol agent for the management of insect pests - a review. </w:t>
      </w:r>
      <w:r w:rsidRPr="007D1FA8">
        <w:t>Agri. Review, 31 (4): 235-252.</w:t>
      </w:r>
    </w:p>
    <w:p w:rsidR="0028751F" w:rsidRPr="0028751F" w:rsidRDefault="0028751F" w:rsidP="007D1FA8">
      <w:pPr>
        <w:pStyle w:val="Aufzhlung"/>
        <w:numPr>
          <w:ilvl w:val="0"/>
          <w:numId w:val="1"/>
        </w:numPr>
        <w:spacing w:before="0" w:after="0"/>
      </w:pPr>
      <w:r w:rsidRPr="007D1FA8">
        <w:t xml:space="preserve">Schreiter G., Butt T. M., Becket A., Vestergaard S. and Moritz G., (1994). </w:t>
      </w:r>
      <w:r w:rsidRPr="00841977">
        <w:rPr>
          <w:lang w:val="en-US"/>
        </w:rPr>
        <w:t xml:space="preserve">Invasion and development of Verticillium lecanii in the western flower thrips, Frankliniella occidentalis. </w:t>
      </w:r>
      <w:r w:rsidRPr="007D1FA8">
        <w:t>Mycol. Res. 98 (9): 1025-1034.</w:t>
      </w:r>
    </w:p>
    <w:p w:rsidR="00723B9B" w:rsidRDefault="00723B9B" w:rsidP="0028751F">
      <w:pPr>
        <w:pStyle w:val="Aufzhlung"/>
        <w:numPr>
          <w:ilvl w:val="0"/>
          <w:numId w:val="1"/>
        </w:numPr>
        <w:spacing w:before="0" w:after="0"/>
      </w:pPr>
      <w:r w:rsidRPr="00866CD1">
        <w:t xml:space="preserve">Schweisgut, M. (2018.) Untersuchungen zur apparenten Abundanz des Entomopathogens </w:t>
      </w:r>
      <w:r w:rsidRPr="007D1FA8">
        <w:t>Metarhizium brunneum</w:t>
      </w:r>
      <w:r w:rsidRPr="00866CD1">
        <w:t xml:space="preserve"> (Metsch.) Sorok im Rahmen einer Langzeit-Feldstudie zur Bekämpfung von </w:t>
      </w:r>
      <w:r w:rsidRPr="007D1FA8">
        <w:t>Diabrotica virgifera virgifera</w:t>
      </w:r>
      <w:r w:rsidRPr="00866CD1">
        <w:t>. Master Thesis, Leopold-Franzens Universität Innsbruck: pp. 101.</w:t>
      </w:r>
    </w:p>
    <w:p w:rsidR="00723B9B" w:rsidRPr="00866CD1" w:rsidRDefault="00723B9B" w:rsidP="0028751F">
      <w:pPr>
        <w:pStyle w:val="Aufzhlung"/>
        <w:numPr>
          <w:ilvl w:val="0"/>
          <w:numId w:val="1"/>
        </w:numPr>
        <w:spacing w:before="0" w:after="0"/>
        <w:rPr>
          <w:lang w:val="en-US"/>
        </w:rPr>
      </w:pPr>
      <w:r w:rsidRPr="009D5C84">
        <w:t xml:space="preserve">Stamm, D.E., Mayo, Z.B., Campbell, J.B., Witkowski, J.F., Andersen, L.W. und Kozub, R. (1985). </w:t>
      </w:r>
      <w:r w:rsidRPr="00866CD1">
        <w:rPr>
          <w:lang w:val="en-US"/>
        </w:rPr>
        <w:t xml:space="preserve">Western corn rootworm (Coleoptera, </w:t>
      </w:r>
      <w:r w:rsidRPr="00866CD1">
        <w:rPr>
          <w:i/>
          <w:lang w:val="en-US"/>
        </w:rPr>
        <w:t>Chrysomelidae</w:t>
      </w:r>
      <w:r w:rsidRPr="00866CD1">
        <w:rPr>
          <w:lang w:val="en-US"/>
        </w:rPr>
        <w:t>) beetle counts as a means of making larval control recommendations in Nebraska. J. Econ. Entomol. 78: 794-798.</w:t>
      </w:r>
    </w:p>
    <w:p w:rsidR="00723B9B" w:rsidRDefault="00723B9B" w:rsidP="0028751F">
      <w:pPr>
        <w:pStyle w:val="Aufzhlung"/>
        <w:numPr>
          <w:ilvl w:val="0"/>
          <w:numId w:val="1"/>
        </w:numPr>
        <w:spacing w:before="0" w:after="0"/>
        <w:rPr>
          <w:lang w:val="en-US"/>
        </w:rPr>
      </w:pPr>
      <w:r w:rsidRPr="00CE0F93">
        <w:t xml:space="preserve">Strasser, H., Rauch, H. &amp; Zelger, R. (2017). </w:t>
      </w:r>
      <w:r w:rsidRPr="00866CD1">
        <w:rPr>
          <w:lang w:val="en-US"/>
        </w:rPr>
        <w:t xml:space="preserve">Biological control of adult </w:t>
      </w:r>
      <w:r w:rsidRPr="00866CD1">
        <w:rPr>
          <w:i/>
          <w:lang w:val="en-US"/>
        </w:rPr>
        <w:t>Diabrotica</w:t>
      </w:r>
      <w:r w:rsidRPr="00866CD1">
        <w:rPr>
          <w:lang w:val="en-US"/>
        </w:rPr>
        <w:t xml:space="preserve"> - Spray experiments with </w:t>
      </w:r>
      <w:r w:rsidRPr="00866CD1">
        <w:rPr>
          <w:i/>
          <w:lang w:val="en-US"/>
        </w:rPr>
        <w:t>Metarhizium brunneum</w:t>
      </w:r>
      <w:r w:rsidRPr="00866CD1">
        <w:rPr>
          <w:lang w:val="en-US"/>
        </w:rPr>
        <w:t xml:space="preserve"> strain BIPESCO 5 under real farm conditions. IOBC wprs Bulletin 129, 84-87.</w:t>
      </w:r>
    </w:p>
    <w:p w:rsidR="009D5C84" w:rsidRPr="009D5C84" w:rsidRDefault="009D5C84" w:rsidP="0028751F">
      <w:pPr>
        <w:pStyle w:val="Aufzhlung"/>
        <w:spacing w:before="0" w:after="0"/>
        <w:rPr>
          <w:lang w:val="en-US" w:eastAsia="de-AT"/>
        </w:rPr>
      </w:pPr>
      <w:r w:rsidRPr="009D5C84">
        <w:rPr>
          <w:lang w:val="de-DE" w:eastAsia="de-AT"/>
        </w:rPr>
        <w:t>S</w:t>
      </w:r>
      <w:r>
        <w:rPr>
          <w:lang w:val="de-DE" w:eastAsia="de-AT"/>
        </w:rPr>
        <w:t>trasser</w:t>
      </w:r>
      <w:r w:rsidRPr="009D5C84">
        <w:rPr>
          <w:lang w:val="de-DE" w:eastAsia="de-AT"/>
        </w:rPr>
        <w:t xml:space="preserve">, H., </w:t>
      </w:r>
      <w:r>
        <w:rPr>
          <w:lang w:val="de-DE" w:eastAsia="de-AT"/>
        </w:rPr>
        <w:t>Forer</w:t>
      </w:r>
      <w:r w:rsidRPr="009D5C84">
        <w:rPr>
          <w:lang w:val="de-DE" w:eastAsia="de-AT"/>
        </w:rPr>
        <w:t xml:space="preserve">, A. &amp; </w:t>
      </w:r>
      <w:r>
        <w:rPr>
          <w:lang w:val="de-DE" w:eastAsia="de-AT"/>
        </w:rPr>
        <w:t>Schinner</w:t>
      </w:r>
      <w:r w:rsidRPr="009D5C84">
        <w:rPr>
          <w:lang w:val="de-DE" w:eastAsia="de-AT"/>
        </w:rPr>
        <w:t xml:space="preserve">, F., (1996). </w:t>
      </w:r>
      <w:r w:rsidRPr="008B49F5">
        <w:rPr>
          <w:lang w:val="en-US" w:eastAsia="de-AT"/>
        </w:rPr>
        <w:t>Development of media for the selective</w:t>
      </w:r>
      <w:r>
        <w:rPr>
          <w:lang w:val="en-US" w:eastAsia="de-AT"/>
        </w:rPr>
        <w:t xml:space="preserve"> </w:t>
      </w:r>
      <w:r w:rsidRPr="008B49F5">
        <w:rPr>
          <w:lang w:val="en-US" w:eastAsia="de-AT"/>
        </w:rPr>
        <w:t xml:space="preserve">isolation and maintenance of virulence of </w:t>
      </w:r>
      <w:r w:rsidRPr="008B49F5">
        <w:rPr>
          <w:i/>
          <w:lang w:val="en-US" w:eastAsia="de-AT"/>
        </w:rPr>
        <w:t>Beauveria brongniartii</w:t>
      </w:r>
      <w:r w:rsidRPr="008B49F5">
        <w:rPr>
          <w:lang w:val="en-US" w:eastAsia="de-AT"/>
        </w:rPr>
        <w:t>, in Microbial Control of</w:t>
      </w:r>
      <w:r>
        <w:rPr>
          <w:lang w:val="en-US" w:eastAsia="de-AT"/>
        </w:rPr>
        <w:t xml:space="preserve"> Soil Dwelling Pests. Jackson, T. &amp; Glare, T. (Eds.),</w:t>
      </w:r>
      <w:r w:rsidRPr="008B49F5">
        <w:rPr>
          <w:lang w:val="en-US" w:eastAsia="de-AT"/>
        </w:rPr>
        <w:t xml:space="preserve"> </w:t>
      </w:r>
      <w:r w:rsidRPr="009D5C84">
        <w:rPr>
          <w:lang w:val="en-US" w:eastAsia="de-AT"/>
        </w:rPr>
        <w:t>125–130, AgResearch, Lincoln.</w:t>
      </w:r>
    </w:p>
    <w:p w:rsidR="00723B9B" w:rsidRDefault="00723B9B" w:rsidP="0028751F">
      <w:pPr>
        <w:pStyle w:val="Aufzhlung"/>
        <w:numPr>
          <w:ilvl w:val="0"/>
          <w:numId w:val="1"/>
        </w:numPr>
        <w:spacing w:before="0" w:after="0"/>
      </w:pPr>
      <w:r w:rsidRPr="00866CD1">
        <w:rPr>
          <w:lang w:val="en-US"/>
        </w:rPr>
        <w:t xml:space="preserve">Zottele, M. (2017). Assessment of </w:t>
      </w:r>
      <w:r w:rsidRPr="00866CD1">
        <w:rPr>
          <w:i/>
          <w:lang w:val="en-US"/>
        </w:rPr>
        <w:t>Metarhizium brunneum</w:t>
      </w:r>
      <w:r w:rsidRPr="00866CD1">
        <w:rPr>
          <w:lang w:val="en-US"/>
        </w:rPr>
        <w:t xml:space="preserve"> BIPESCO 5: a sustainable und preventive biological control agent to control </w:t>
      </w:r>
      <w:r w:rsidRPr="00866CD1">
        <w:rPr>
          <w:i/>
          <w:lang w:val="en-US"/>
        </w:rPr>
        <w:t>Diabrotica virgifera virgifera</w:t>
      </w:r>
      <w:r w:rsidRPr="00866CD1">
        <w:rPr>
          <w:lang w:val="en-US"/>
        </w:rPr>
        <w:t xml:space="preserve"> larvae. </w:t>
      </w:r>
      <w:r w:rsidRPr="00866CD1">
        <w:t>Master Thesis University Innsbruck: pp. 83.</w:t>
      </w:r>
    </w:p>
    <w:p w:rsidR="00723B9B" w:rsidRPr="00866CD1" w:rsidRDefault="00723B9B" w:rsidP="00723B9B">
      <w:pPr>
        <w:pStyle w:val="berschrift118pt"/>
      </w:pPr>
      <w:bookmarkStart w:id="391" w:name="_Toc532311643"/>
      <w:bookmarkStart w:id="392" w:name="_Toc7715651"/>
      <w:r w:rsidRPr="00866CD1">
        <w:t>Danksagung</w:t>
      </w:r>
      <w:bookmarkEnd w:id="391"/>
      <w:bookmarkEnd w:id="392"/>
    </w:p>
    <w:p w:rsidR="00723B9B" w:rsidRPr="00866CD1" w:rsidRDefault="00723B9B" w:rsidP="00973BAB">
      <w:pPr>
        <w:spacing w:before="270" w:line="270" w:lineRule="exact"/>
        <w:ind w:firstLine="709"/>
        <w:jc w:val="both"/>
        <w:rPr>
          <w:rFonts w:eastAsia="Times New Roman"/>
          <w:color w:val="000000"/>
        </w:rPr>
      </w:pPr>
      <w:r w:rsidRPr="00866CD1">
        <w:rPr>
          <w:rFonts w:eastAsia="Times New Roman"/>
          <w:color w:val="000000"/>
        </w:rPr>
        <w:t>Das Forschungsprojekt DIACONT (Antrag Nr. 101111/2 – DIACONT) wurde im Auftrag des Bundesministeriums für Land- und Forstwirtschaft, Wasser und Umwelt und aller Bundesländer durchgeführt. Die Arbeitsgruppe BIPESCO Innsbruck bedankt sich bei Dr. Jürg Enkerli und Dr. Johanna Mayerhofer (beide Agroscope Reckenholz, Zürich) für die Mithilfe zur Genotypisierung der Pilz-Isolate, und bei DI Andreas Tschöll und DI Thomas Peham (Gruppe Agrar, Tiroler Landesregierung) für das Käfermonitoring in St. Johann in Tirol. Ein besonderes „Vergelt´s Gott“ gebührt den Landwirten Markus Sammer, Fritz Waltl, DI Leo Ladenhauf, Franz Hödl, Klaus Uidl und Ing. August Jost für die Bereitstellung der Versuchs- und Kontrollflächen, sowie für ihre aktive Mitarbeit. Danke auch der Firma Agrifutur s.r.l. (Alfianello, Italien) und der Firma Samen Schwarzenberger (Völs, Tirol) für die Bereitstellung von GranMet</w:t>
      </w:r>
      <w:r w:rsidRPr="00866CD1">
        <w:rPr>
          <w:rFonts w:eastAsia="Times New Roman"/>
          <w:color w:val="000000"/>
          <w:vertAlign w:val="superscript"/>
        </w:rPr>
        <w:t>TM</w:t>
      </w:r>
      <w:r w:rsidRPr="00866CD1">
        <w:rPr>
          <w:rFonts w:eastAsia="Times New Roman"/>
          <w:color w:val="000000"/>
        </w:rPr>
        <w:t xml:space="preserve"> sowie Ing. Markus Fischer (ALWERA Donnersdorf) für die Drohnenbilder und für die Wetterdaten. Ein besonderer D</w:t>
      </w:r>
      <w:r>
        <w:rPr>
          <w:rFonts w:eastAsia="Times New Roman"/>
          <w:color w:val="000000"/>
        </w:rPr>
        <w:t>ank gilt auch all jenen StudentI</w:t>
      </w:r>
      <w:r w:rsidRPr="00866CD1">
        <w:rPr>
          <w:rFonts w:eastAsia="Times New Roman"/>
          <w:color w:val="000000"/>
        </w:rPr>
        <w:t xml:space="preserve">nnen des Institutes für Mikrobiologie (Leopold-Franzens Universität Innsbruck), sowie </w:t>
      </w:r>
      <w:r>
        <w:rPr>
          <w:rFonts w:eastAsia="Times New Roman"/>
          <w:color w:val="000000"/>
        </w:rPr>
        <w:t xml:space="preserve">Alexandra </w:t>
      </w:r>
      <w:r w:rsidRPr="00866CD1">
        <w:rPr>
          <w:rFonts w:eastAsia="Times New Roman"/>
          <w:color w:val="000000"/>
        </w:rPr>
        <w:t xml:space="preserve">und </w:t>
      </w:r>
      <w:r>
        <w:rPr>
          <w:rFonts w:eastAsia="Times New Roman"/>
          <w:color w:val="000000"/>
        </w:rPr>
        <w:t>Christof Strasser</w:t>
      </w:r>
      <w:r w:rsidRPr="00866CD1">
        <w:rPr>
          <w:rFonts w:eastAsia="Times New Roman"/>
          <w:color w:val="000000"/>
        </w:rPr>
        <w:t>, die mit viel Engagement und Können die zum Teil schweißtreibende Feldarbeit durchgeführt haben.</w:t>
      </w:r>
    </w:p>
    <w:p w:rsidR="00723B9B" w:rsidRPr="00866CD1" w:rsidRDefault="00723B9B" w:rsidP="00723B9B">
      <w:pPr>
        <w:spacing w:before="270" w:line="276" w:lineRule="auto"/>
        <w:rPr>
          <w:rFonts w:eastAsia="Times New Roman"/>
          <w:color w:val="000000"/>
        </w:rPr>
        <w:sectPr w:rsidR="00723B9B" w:rsidRPr="00866CD1" w:rsidSect="00723B9B">
          <w:headerReference w:type="first" r:id="rId145"/>
          <w:pgSz w:w="11900" w:h="16840"/>
          <w:pgMar w:top="1361" w:right="1361" w:bottom="1361" w:left="1361" w:header="680" w:footer="680" w:gutter="0"/>
          <w:cols w:space="708"/>
          <w:titlePg/>
        </w:sectPr>
      </w:pPr>
    </w:p>
    <w:p w:rsidR="00723B9B" w:rsidRPr="004A32A4" w:rsidRDefault="00723B9B" w:rsidP="00723B9B">
      <w:pPr>
        <w:pStyle w:val="berschrift118pt"/>
      </w:pPr>
      <w:bookmarkStart w:id="393" w:name="_Toc532311645"/>
      <w:bookmarkStart w:id="394" w:name="_Toc7715652"/>
      <w:r w:rsidRPr="004A32A4">
        <w:t>Anhang</w:t>
      </w:r>
      <w:bookmarkEnd w:id="393"/>
      <w:bookmarkEnd w:id="394"/>
    </w:p>
    <w:p w:rsidR="00723B9B" w:rsidRPr="004A32A4" w:rsidRDefault="00723B9B" w:rsidP="00723B9B">
      <w:pPr>
        <w:pStyle w:val="1Unterkapitel"/>
      </w:pPr>
      <w:bookmarkStart w:id="395" w:name="_Toc532311646"/>
      <w:bookmarkStart w:id="396" w:name="_Toc7715653"/>
      <w:r w:rsidRPr="004A32A4">
        <w:t>Publikationsliste</w:t>
      </w:r>
      <w:bookmarkEnd w:id="395"/>
      <w:bookmarkEnd w:id="396"/>
    </w:p>
    <w:p w:rsidR="00723B9B" w:rsidRPr="004A32A4" w:rsidRDefault="00723B9B" w:rsidP="009B6BDD">
      <w:pPr>
        <w:pStyle w:val="11Unterkapitel"/>
        <w:rPr>
          <w:rStyle w:val="Fett"/>
        </w:rPr>
      </w:pPr>
      <w:bookmarkStart w:id="397" w:name="_Toc7715654"/>
      <w:r w:rsidRPr="004A32A4">
        <w:rPr>
          <w:rStyle w:val="Fett"/>
        </w:rPr>
        <w:t>Fachzeitschriften (Full papers)</w:t>
      </w:r>
      <w:bookmarkEnd w:id="397"/>
    </w:p>
    <w:p w:rsidR="00723B9B" w:rsidRPr="009D5C84" w:rsidRDefault="00723B9B" w:rsidP="00723B9B">
      <w:pPr>
        <w:pStyle w:val="1Aufzhlung"/>
        <w:numPr>
          <w:ilvl w:val="0"/>
          <w:numId w:val="4"/>
        </w:numPr>
        <w:rPr>
          <w:lang w:val="en-US"/>
        </w:rPr>
      </w:pPr>
      <w:r w:rsidRPr="004A32A4">
        <w:rPr>
          <w:lang w:val="en-US"/>
        </w:rPr>
        <w:t xml:space="preserve">Mayerhofer, J., Rauch, H., Hartmann, M., Widmer, F., Gschwend, F. , </w:t>
      </w:r>
      <w:r w:rsidRPr="004A32A4">
        <w:rPr>
          <w:b/>
          <w:lang w:val="en-US"/>
        </w:rPr>
        <w:t>Strasser, H</w:t>
      </w:r>
      <w:r w:rsidRPr="004A32A4">
        <w:rPr>
          <w:lang w:val="en-US"/>
        </w:rPr>
        <w:t xml:space="preserve">., Leuchtmann  A. &amp; Enkerli, J. Response of soil microbial communities to the application of a formulated </w:t>
      </w:r>
      <w:r w:rsidRPr="004A32A4">
        <w:rPr>
          <w:i/>
          <w:lang w:val="en-US"/>
        </w:rPr>
        <w:t>Metarhizium brunneum</w:t>
      </w:r>
      <w:r w:rsidRPr="004A32A4">
        <w:rPr>
          <w:lang w:val="en-US"/>
        </w:rPr>
        <w:t xml:space="preserve"> biocontrol strain. </w:t>
      </w:r>
      <w:r w:rsidRPr="009D5C84">
        <w:rPr>
          <w:lang w:val="en-US"/>
        </w:rPr>
        <w:t>Biocont. Sci. Technol., submitted.</w:t>
      </w:r>
    </w:p>
    <w:p w:rsidR="00723B9B" w:rsidRPr="004A32A4" w:rsidRDefault="00723B9B" w:rsidP="00723B9B">
      <w:pPr>
        <w:pStyle w:val="1Aufzhlung"/>
        <w:numPr>
          <w:ilvl w:val="0"/>
          <w:numId w:val="4"/>
        </w:numPr>
        <w:rPr>
          <w:lang w:val="en-GB"/>
        </w:rPr>
      </w:pPr>
      <w:r w:rsidRPr="004A32A4">
        <w:rPr>
          <w:lang w:val="en-US"/>
        </w:rPr>
        <w:t xml:space="preserve">Benjamin, E.O, Grabenweger, G. </w:t>
      </w:r>
      <w:r w:rsidRPr="004A32A4">
        <w:rPr>
          <w:b/>
          <w:lang w:val="en-US"/>
        </w:rPr>
        <w:t>Strasser, H.</w:t>
      </w:r>
      <w:r w:rsidRPr="004A32A4">
        <w:rPr>
          <w:lang w:val="en-US"/>
        </w:rPr>
        <w:t xml:space="preserve"> &amp; Wessele J. (2018) The socioeconomic benefits of biological control of western corn rootworm </w:t>
      </w:r>
      <w:r w:rsidRPr="004A32A4">
        <w:rPr>
          <w:i/>
          <w:lang w:val="en-US"/>
        </w:rPr>
        <w:t>Diabrotica virgifera virgifera</w:t>
      </w:r>
      <w:r w:rsidRPr="004A32A4">
        <w:rPr>
          <w:lang w:val="en-US"/>
        </w:rPr>
        <w:t xml:space="preserve"> and wireworms </w:t>
      </w:r>
      <w:hyperlink r:id="rId146" w:tooltip="Agriotes lineatus" w:history="1">
        <w:r w:rsidRPr="00F72540">
          <w:rPr>
            <w:i/>
            <w:lang w:val="en-US"/>
          </w:rPr>
          <w:t>Agriotes</w:t>
        </w:r>
      </w:hyperlink>
      <w:r w:rsidRPr="004A32A4">
        <w:rPr>
          <w:lang w:val="en-US"/>
        </w:rPr>
        <w:t xml:space="preserve"> spp. in maize and potatoes for selected European countries. J. Plant Dis. Prot. 125 (3), 273-285. (DOI 10.1007/s41348-018-0156-6).</w:t>
      </w:r>
    </w:p>
    <w:p w:rsidR="00723B9B" w:rsidRPr="004A32A4" w:rsidRDefault="00723B9B" w:rsidP="00723B9B">
      <w:pPr>
        <w:pStyle w:val="1Aufzhlung"/>
        <w:numPr>
          <w:ilvl w:val="0"/>
          <w:numId w:val="4"/>
        </w:numPr>
        <w:rPr>
          <w:lang w:val="en-GB"/>
        </w:rPr>
      </w:pPr>
      <w:r w:rsidRPr="004A32A4">
        <w:rPr>
          <w:lang w:val="en-US"/>
        </w:rPr>
        <w:t xml:space="preserve">Rauch. H., Steinwender, B.M., Mayerhofer, J., Sigsgaard, L., Eilenberg, J., Enkerli, J., Zelger, R. &amp; </w:t>
      </w:r>
      <w:r w:rsidRPr="004A32A4">
        <w:rPr>
          <w:b/>
          <w:lang w:val="en-US"/>
        </w:rPr>
        <w:t>Strasser, H.</w:t>
      </w:r>
      <w:r w:rsidRPr="004A32A4">
        <w:rPr>
          <w:lang w:val="en-US"/>
        </w:rPr>
        <w:t xml:space="preserve"> (2017) Effi</w:t>
      </w:r>
      <w:r w:rsidRPr="004A32A4">
        <w:rPr>
          <w:lang w:val="en-GB"/>
        </w:rPr>
        <w:t xml:space="preserve">cacy assessment of </w:t>
      </w:r>
      <w:r w:rsidRPr="004A32A4">
        <w:rPr>
          <w:i/>
          <w:lang w:val="en-GB"/>
        </w:rPr>
        <w:t>Heterorhabditis bacteriophora</w:t>
      </w:r>
      <w:r w:rsidRPr="004A32A4">
        <w:rPr>
          <w:lang w:val="en-GB"/>
        </w:rPr>
        <w:t xml:space="preserve"> (Nematoda: Heterorhabditidae), </w:t>
      </w:r>
      <w:r w:rsidRPr="004A32A4">
        <w:rPr>
          <w:i/>
          <w:lang w:val="en-GB"/>
        </w:rPr>
        <w:t>Metarhizium brunneum</w:t>
      </w:r>
      <w:r w:rsidRPr="004A32A4">
        <w:rPr>
          <w:lang w:val="en-GB"/>
        </w:rPr>
        <w:t xml:space="preserve"> (Hypocreales: Clavicipitaceae), and chemical insecticides for </w:t>
      </w:r>
      <w:r w:rsidRPr="004A32A4">
        <w:rPr>
          <w:i/>
          <w:lang w:val="en-GB"/>
        </w:rPr>
        <w:t>Diabrotica virgifera virgifera</w:t>
      </w:r>
      <w:r w:rsidRPr="004A32A4">
        <w:rPr>
          <w:lang w:val="en-GB"/>
        </w:rPr>
        <w:t xml:space="preserve"> larval management under real farm conditions. Biol. Cont., 107: 1-10. DOI: </w:t>
      </w:r>
      <w:r w:rsidRPr="004A32A4">
        <w:rPr>
          <w:rFonts w:eastAsia="Calibri"/>
          <w:lang w:val="en-US"/>
        </w:rPr>
        <w:t>10.1016/j.biocontrol.2017.01.007.</w:t>
      </w:r>
    </w:p>
    <w:p w:rsidR="00723B9B" w:rsidRPr="004A32A4" w:rsidRDefault="00723B9B" w:rsidP="009B6BDD">
      <w:pPr>
        <w:pStyle w:val="11Unterkapitel"/>
        <w:rPr>
          <w:rStyle w:val="Fett"/>
        </w:rPr>
      </w:pPr>
      <w:bookmarkStart w:id="398" w:name="_Toc7715655"/>
      <w:r w:rsidRPr="004A32A4">
        <w:rPr>
          <w:rStyle w:val="Fett"/>
        </w:rPr>
        <w:t>Konferenz-Proceedings (Full paper)</w:t>
      </w:r>
      <w:bookmarkEnd w:id="398"/>
    </w:p>
    <w:p w:rsidR="00723B9B" w:rsidRPr="004A32A4" w:rsidRDefault="00723B9B" w:rsidP="00723B9B">
      <w:pPr>
        <w:pStyle w:val="1Aufzhlung"/>
        <w:rPr>
          <w:lang w:val="en-US"/>
        </w:rPr>
      </w:pPr>
      <w:bookmarkStart w:id="399" w:name="_Toc472417320"/>
      <w:r w:rsidRPr="004A32A4">
        <w:rPr>
          <w:b/>
          <w:lang w:val="en-US"/>
        </w:rPr>
        <w:t>Strasser, H.,</w:t>
      </w:r>
      <w:r w:rsidRPr="004A32A4">
        <w:rPr>
          <w:lang w:val="en-US"/>
        </w:rPr>
        <w:t xml:space="preserve"> Rauch, H. &amp; Zelger, R.</w:t>
      </w:r>
      <w:r w:rsidRPr="004A32A4">
        <w:rPr>
          <w:b/>
          <w:lang w:val="en-US"/>
        </w:rPr>
        <w:t xml:space="preserve"> </w:t>
      </w:r>
      <w:r w:rsidRPr="004A32A4">
        <w:rPr>
          <w:lang w:val="en-US"/>
        </w:rPr>
        <w:t>(2017)</w:t>
      </w:r>
      <w:r w:rsidRPr="004A32A4">
        <w:rPr>
          <w:b/>
          <w:lang w:val="en-US"/>
        </w:rPr>
        <w:t xml:space="preserve"> </w:t>
      </w:r>
      <w:r w:rsidRPr="004A32A4">
        <w:rPr>
          <w:lang w:val="en-US"/>
        </w:rPr>
        <w:t xml:space="preserve">Biological control of adult </w:t>
      </w:r>
      <w:r w:rsidRPr="004A32A4">
        <w:rPr>
          <w:i/>
          <w:lang w:val="en-US"/>
        </w:rPr>
        <w:t>Diabrotica</w:t>
      </w:r>
      <w:r w:rsidRPr="004A32A4">
        <w:rPr>
          <w:lang w:val="en-US"/>
        </w:rPr>
        <w:t xml:space="preserve"> - Spray experiments with </w:t>
      </w:r>
      <w:r w:rsidRPr="004A32A4">
        <w:rPr>
          <w:i/>
          <w:lang w:val="en-US"/>
        </w:rPr>
        <w:t>Metarhizium brunneum</w:t>
      </w:r>
      <w:r w:rsidRPr="004A32A4">
        <w:rPr>
          <w:lang w:val="en-US"/>
        </w:rPr>
        <w:t xml:space="preserve"> strain BIPESCO 5 under real farm conditions. IOBC wprs Bulletin 129, 84-87.</w:t>
      </w:r>
    </w:p>
    <w:p w:rsidR="00723B9B" w:rsidRPr="004A32A4" w:rsidRDefault="00723B9B" w:rsidP="00723B9B">
      <w:pPr>
        <w:pStyle w:val="1Aufzhlung"/>
      </w:pPr>
      <w:r w:rsidRPr="004A32A4">
        <w:rPr>
          <w:lang w:val="en-US"/>
        </w:rPr>
        <w:t>Zottele, M. &amp;</w:t>
      </w:r>
      <w:r w:rsidRPr="004A32A4">
        <w:rPr>
          <w:b/>
          <w:lang w:val="en-US"/>
        </w:rPr>
        <w:t xml:space="preserve"> Strasser, H. </w:t>
      </w:r>
      <w:r w:rsidRPr="004A32A4">
        <w:rPr>
          <w:lang w:val="en-US"/>
        </w:rPr>
        <w:t>(2017)</w:t>
      </w:r>
      <w:r w:rsidRPr="004A32A4">
        <w:rPr>
          <w:b/>
          <w:lang w:val="en-US"/>
        </w:rPr>
        <w:t xml:space="preserve"> </w:t>
      </w:r>
      <w:r w:rsidRPr="004A32A4">
        <w:rPr>
          <w:bCs/>
          <w:i/>
          <w:iCs/>
          <w:lang w:val="en-US"/>
        </w:rPr>
        <w:t>Metarhizium brunneum</w:t>
      </w:r>
      <w:r w:rsidRPr="004A32A4">
        <w:rPr>
          <w:bCs/>
          <w:lang w:val="en-US"/>
        </w:rPr>
        <w:t xml:space="preserve"> BIPESCO 5: a sustainable and preventive biological control agent to control </w:t>
      </w:r>
      <w:r w:rsidRPr="004A32A4">
        <w:rPr>
          <w:bCs/>
          <w:i/>
          <w:iCs/>
          <w:lang w:val="en-US"/>
        </w:rPr>
        <w:t>Diabrotica virgifera virgifera</w:t>
      </w:r>
      <w:r w:rsidRPr="004A32A4">
        <w:rPr>
          <w:bCs/>
          <w:lang w:val="en-US"/>
        </w:rPr>
        <w:t xml:space="preserve"> larvae.</w:t>
      </w:r>
      <w:r w:rsidRPr="004A32A4">
        <w:rPr>
          <w:lang w:val="en-US"/>
        </w:rPr>
        <w:t xml:space="preserve"> </w:t>
      </w:r>
      <w:r w:rsidRPr="004A32A4">
        <w:t>IOBC wprs Bulletin 129, 89-102.</w:t>
      </w:r>
    </w:p>
    <w:bookmarkEnd w:id="399"/>
    <w:p w:rsidR="00723B9B" w:rsidRPr="004A32A4" w:rsidRDefault="00723B9B" w:rsidP="00723B9B">
      <w:pPr>
        <w:pStyle w:val="1Aufzhlung"/>
      </w:pPr>
      <w:r w:rsidRPr="004A32A4">
        <w:rPr>
          <w:b/>
        </w:rPr>
        <w:t>Strasser, H.</w:t>
      </w:r>
      <w:r w:rsidRPr="004A32A4">
        <w:t xml:space="preserve"> (2016) Kritische Betrachtung der Anforderungen für die EU-Zulassung von antagonistischen Pilzen (Critical review regarding requirements for EU authorization of antagonistic active fungi). 71. ALVA “Tagung Eiweißpflanzen - Strategien und Chancen für Landwirtschaft und Industrie”. Tagungsbericht. Klagenfurt: Arbeitsgemeinschaft für Lebensmittel-, Veterinär- und Agrarwesen, pp. 241-242.</w:t>
      </w:r>
    </w:p>
    <w:p w:rsidR="00723B9B" w:rsidRPr="004A32A4" w:rsidRDefault="00723B9B" w:rsidP="00723B9B">
      <w:pPr>
        <w:pStyle w:val="1Aufzhlung"/>
      </w:pPr>
      <w:r w:rsidRPr="004A32A4">
        <w:t xml:space="preserve">Taibon, J., Sturm, S., Seger C., Stuppner H. &amp; </w:t>
      </w:r>
      <w:r w:rsidRPr="004A32A4">
        <w:rPr>
          <w:b/>
        </w:rPr>
        <w:t xml:space="preserve">Strasser, H. </w:t>
      </w:r>
      <w:r w:rsidRPr="004A32A4">
        <w:t xml:space="preserve">(2016) Methodenvalidierung zum Nachweis von toxisch relevanten Toxinen am Beispiel von </w:t>
      </w:r>
      <w:r w:rsidRPr="004A32A4">
        <w:rPr>
          <w:i/>
        </w:rPr>
        <w:t>Metarhizium brunneum</w:t>
      </w:r>
      <w:r w:rsidRPr="004A32A4">
        <w:t xml:space="preserve"> (Method validation for the assessment of toxic relevant metabolites from </w:t>
      </w:r>
      <w:r w:rsidRPr="004A32A4">
        <w:rPr>
          <w:i/>
        </w:rPr>
        <w:t>Metarhizium brunneum</w:t>
      </w:r>
      <w:r w:rsidRPr="004A32A4">
        <w:t>) 71. ALVA “Tagung Eiweißpflanzen - Strategien und Chancen für Landwirtschaft und Industrie”. Tagungsbericht. Klagenfurt: Arbeitsgemeinschaft für Lebensmittel-, Veterinär- und Agrarwesen, pp. 243-244.</w:t>
      </w:r>
    </w:p>
    <w:p w:rsidR="00723B9B" w:rsidRPr="004A32A4" w:rsidRDefault="00723B9B" w:rsidP="00723B9B">
      <w:pPr>
        <w:pStyle w:val="1Aufzhlung"/>
      </w:pPr>
      <w:r w:rsidRPr="004A32A4">
        <w:t xml:space="preserve">Zottele, M., Zelger, R. &amp; </w:t>
      </w:r>
      <w:r w:rsidRPr="004A32A4">
        <w:rPr>
          <w:b/>
        </w:rPr>
        <w:t>Strasser, H.</w:t>
      </w:r>
      <w:r w:rsidRPr="004A32A4">
        <w:t xml:space="preserve"> (2016) Einsatz von </w:t>
      </w:r>
      <w:r w:rsidRPr="004A32A4">
        <w:rPr>
          <w:i/>
        </w:rPr>
        <w:t>Metarhizium brunneum</w:t>
      </w:r>
      <w:r w:rsidRPr="004A32A4">
        <w:t xml:space="preserve"> zur präventiven Bekämpfung der Maiswurzelbohrer- Larven (Usage of </w:t>
      </w:r>
      <w:r w:rsidRPr="004A32A4">
        <w:rPr>
          <w:i/>
        </w:rPr>
        <w:t>Metarhizium brunneum</w:t>
      </w:r>
      <w:r w:rsidRPr="004A32A4">
        <w:t xml:space="preserve"> for preventive control of western corn rootworm – larvae) 71. ALVA “Tagung Eiweißpflanzen - Strategien und Chancen für Landwirtschaft und Industrie”. Tagungsbericht. Klagenfurt: Arbeitsgemeinschaft für Lebensmittel-, Veterinär- und Agrarwesen, pp. 305-307.</w:t>
      </w:r>
    </w:p>
    <w:p w:rsidR="00723B9B" w:rsidRPr="004A32A4" w:rsidRDefault="00723B9B" w:rsidP="009B6BDD">
      <w:pPr>
        <w:pStyle w:val="11Unterkapitel"/>
        <w:rPr>
          <w:rStyle w:val="Fett"/>
        </w:rPr>
      </w:pPr>
      <w:bookmarkStart w:id="400" w:name="_Toc7715656"/>
      <w:r w:rsidRPr="004A32A4">
        <w:rPr>
          <w:rStyle w:val="Fett"/>
        </w:rPr>
        <w:t>Posterpräsentationen</w:t>
      </w:r>
      <w:bookmarkEnd w:id="400"/>
    </w:p>
    <w:p w:rsidR="00723B9B" w:rsidRPr="004A32A4" w:rsidRDefault="00723B9B" w:rsidP="00723B9B">
      <w:pPr>
        <w:pStyle w:val="1Aufzhlung"/>
      </w:pPr>
      <w:r w:rsidRPr="009121FD">
        <w:rPr>
          <w:b/>
          <w:lang w:val="en-US"/>
        </w:rPr>
        <w:t>Strasser, H.</w:t>
      </w:r>
      <w:r w:rsidRPr="009121FD">
        <w:rPr>
          <w:lang w:val="en-US"/>
        </w:rPr>
        <w:t xml:space="preserve">, Pabst, C.O., Zottele M. (2017) Advances in the developement of novel environmentally friendly control agents based on entomopathogenic fungi. </w:t>
      </w:r>
      <w:r w:rsidRPr="004A32A4">
        <w:rPr>
          <w:iCs/>
        </w:rPr>
        <w:t>1</w:t>
      </w:r>
      <w:r w:rsidRPr="004A32A4">
        <w:rPr>
          <w:iCs/>
          <w:vertAlign w:val="superscript"/>
        </w:rPr>
        <w:t>st</w:t>
      </w:r>
      <w:r w:rsidRPr="004A32A4">
        <w:rPr>
          <w:iCs/>
        </w:rPr>
        <w:t xml:space="preserve"> Mycology Tyrol Mini-Symposium, Univerität Innsbruck, Innsbruck, 29. September 2017.</w:t>
      </w:r>
    </w:p>
    <w:p w:rsidR="00723B9B" w:rsidRPr="004A32A4" w:rsidRDefault="00723B9B" w:rsidP="00723B9B">
      <w:pPr>
        <w:pStyle w:val="1Aufzhlung"/>
      </w:pPr>
      <w:r w:rsidRPr="004A32A4">
        <w:t xml:space="preserve">Zottele, M. &amp; </w:t>
      </w:r>
      <w:r w:rsidRPr="004A32A4">
        <w:rPr>
          <w:b/>
        </w:rPr>
        <w:t xml:space="preserve">Strasser, H. </w:t>
      </w:r>
      <w:r w:rsidRPr="004A32A4">
        <w:t xml:space="preserve">(2016) Pilzpersistenz und Wirkung von </w:t>
      </w:r>
      <w:r w:rsidRPr="004A32A4">
        <w:rPr>
          <w:i/>
        </w:rPr>
        <w:t>Metarhizium brunneum</w:t>
      </w:r>
      <w:r w:rsidRPr="004A32A4">
        <w:t xml:space="preserve"> im Einsatz gegen den Maiswurzelbohrer. </w:t>
      </w:r>
      <w:r w:rsidRPr="004A32A4">
        <w:rPr>
          <w:rFonts w:eastAsia="SimSun"/>
          <w:lang w:eastAsia="zh-CN"/>
        </w:rPr>
        <w:t>57. Österreichische Pflanzenschutztage</w:t>
      </w:r>
      <w:r w:rsidRPr="004A32A4">
        <w:rPr>
          <w:rFonts w:eastAsia="MS Mincho"/>
        </w:rPr>
        <w:t xml:space="preserve"> in Wels, Stadthalle Wels. Österreichische Arbeitsgemeinschaft für integrierten Pflanzenschutz, Wels, 29 November 2016.</w:t>
      </w:r>
    </w:p>
    <w:p w:rsidR="00723B9B" w:rsidRPr="004106D7" w:rsidRDefault="00723B9B" w:rsidP="00723B9B">
      <w:pPr>
        <w:pStyle w:val="1Aufzhlung"/>
      </w:pPr>
      <w:r w:rsidRPr="004A32A4">
        <w:t xml:space="preserve">Zottele, M., Zelger, R. &amp; </w:t>
      </w:r>
      <w:r w:rsidRPr="004A32A4">
        <w:rPr>
          <w:b/>
        </w:rPr>
        <w:t>Strasser, H.</w:t>
      </w:r>
      <w:r w:rsidRPr="004A32A4">
        <w:t xml:space="preserve"> (2016) Einsatz von </w:t>
      </w:r>
      <w:r w:rsidRPr="004A32A4">
        <w:rPr>
          <w:i/>
        </w:rPr>
        <w:t>Metarhizium brunneum</w:t>
      </w:r>
      <w:r w:rsidRPr="004A32A4">
        <w:t xml:space="preserve"> zur präventiven Bekämpfung der Maiswurzelbohrer- Larven (Usage of </w:t>
      </w:r>
      <w:r w:rsidRPr="004A32A4">
        <w:rPr>
          <w:i/>
        </w:rPr>
        <w:t>Metarhizium brunneum</w:t>
      </w:r>
      <w:r w:rsidRPr="004A32A4">
        <w:t xml:space="preserve"> for preventive control of western corn rootworm – larvae) 71. ALVA “Tagung Eiweißpflanzen - Strategien und Chancen für Landwirtschaft und Industrie”. </w:t>
      </w:r>
      <w:r w:rsidRPr="004106D7">
        <w:t>Klagenfurt, 30 May 2016.</w:t>
      </w:r>
    </w:p>
    <w:p w:rsidR="00723B9B" w:rsidRPr="004A32A4" w:rsidRDefault="00723B9B" w:rsidP="00723B9B">
      <w:pPr>
        <w:pStyle w:val="1Aufzhlung"/>
      </w:pPr>
      <w:r w:rsidRPr="004A32A4">
        <w:rPr>
          <w:lang w:val="en-GB"/>
        </w:rPr>
        <w:t xml:space="preserve">Taibon, J.; Sturm, S.; Seger, C.; </w:t>
      </w:r>
      <w:r w:rsidRPr="004A32A4">
        <w:rPr>
          <w:b/>
          <w:lang w:val="en-GB"/>
        </w:rPr>
        <w:t>Strasser, H.</w:t>
      </w:r>
      <w:r w:rsidRPr="004A32A4">
        <w:rPr>
          <w:lang w:val="en-GB"/>
        </w:rPr>
        <w:t xml:space="preserve">; Stuppner, H. (2016) Risk assessment on toxic relevant destruxin analytes – do they enter the food chain? </w:t>
      </w:r>
      <w:r w:rsidRPr="004A32A4">
        <w:t>6</w:t>
      </w:r>
      <w:r w:rsidRPr="004A32A4">
        <w:rPr>
          <w:vertAlign w:val="superscript"/>
        </w:rPr>
        <w:t>th</w:t>
      </w:r>
      <w:r w:rsidRPr="004A32A4">
        <w:t xml:space="preserve"> CMBI Meeting. Gnadenwald, March 4 2016. </w:t>
      </w:r>
    </w:p>
    <w:p w:rsidR="00723B9B" w:rsidRPr="004A32A4" w:rsidRDefault="00723B9B" w:rsidP="009B6BDD">
      <w:pPr>
        <w:pStyle w:val="11Unterkapitel"/>
        <w:rPr>
          <w:rStyle w:val="Fett"/>
        </w:rPr>
      </w:pPr>
      <w:bookmarkStart w:id="401" w:name="_Toc7715657"/>
      <w:r w:rsidRPr="004A32A4">
        <w:rPr>
          <w:rStyle w:val="Fett"/>
        </w:rPr>
        <w:t>Vorträge</w:t>
      </w:r>
      <w:bookmarkEnd w:id="401"/>
    </w:p>
    <w:p w:rsidR="00723B9B" w:rsidRPr="004A32A4" w:rsidRDefault="00723B9B" w:rsidP="00723B9B">
      <w:pPr>
        <w:pStyle w:val="1Aufzhlung"/>
      </w:pPr>
      <w:r w:rsidRPr="004A32A4">
        <w:rPr>
          <w:b/>
        </w:rPr>
        <w:t>Strasser, H.</w:t>
      </w:r>
      <w:r w:rsidRPr="004A32A4">
        <w:t xml:space="preserve"> (2017) Innovationen im biologischen Pflanzenschutz: </w:t>
      </w:r>
      <w:r w:rsidRPr="004A32A4">
        <w:rPr>
          <w:i/>
        </w:rPr>
        <w:t>Gran Met-P</w:t>
      </w:r>
      <w:r w:rsidRPr="004A32A4">
        <w:t xml:space="preserve"> als eine nachhaltige Option zur Bekämpfung von Bodenschädlingen. 58</w:t>
      </w:r>
      <w:r w:rsidRPr="004A32A4">
        <w:rPr>
          <w:vertAlign w:val="superscript"/>
        </w:rPr>
        <w:t>th</w:t>
      </w:r>
      <w:r w:rsidRPr="004A32A4">
        <w:t xml:space="preserve"> Österreichischen Pflanzenschutztage, 28 - 29 November 2017, St. Pölten.</w:t>
      </w:r>
    </w:p>
    <w:p w:rsidR="00723B9B" w:rsidRPr="004A32A4" w:rsidRDefault="00723B9B" w:rsidP="00723B9B">
      <w:pPr>
        <w:pStyle w:val="1Aufzhlung"/>
        <w:rPr>
          <w:lang w:val="en-GB"/>
        </w:rPr>
      </w:pPr>
      <w:r w:rsidRPr="009121FD">
        <w:rPr>
          <w:b/>
          <w:lang w:val="en-US"/>
        </w:rPr>
        <w:t>Strasser, H.</w:t>
      </w:r>
      <w:r w:rsidRPr="009121FD">
        <w:rPr>
          <w:lang w:val="en-US"/>
        </w:rPr>
        <w:t>, Pabst, C.O., Schweisgut, M., Zottele M. (2017) Innovation in Biocontrol – Challenges and Research: Making fungi - as biocontrol option – more accessible to farmers</w:t>
      </w:r>
      <w:r w:rsidRPr="004A32A4">
        <w:rPr>
          <w:lang w:val="it-IT"/>
        </w:rPr>
        <w:t xml:space="preserve">. </w:t>
      </w:r>
      <w:r w:rsidRPr="004A32A4">
        <w:rPr>
          <w:iCs/>
          <w:lang w:val="en-GB"/>
        </w:rPr>
        <w:t>1</w:t>
      </w:r>
      <w:r w:rsidRPr="004A32A4">
        <w:rPr>
          <w:iCs/>
          <w:vertAlign w:val="superscript"/>
          <w:lang w:val="en-GB"/>
        </w:rPr>
        <w:t>st</w:t>
      </w:r>
      <w:r w:rsidRPr="004A32A4">
        <w:rPr>
          <w:iCs/>
          <w:lang w:val="en-GB"/>
        </w:rPr>
        <w:t xml:space="preserve"> Mycology Tyrol Mini-Symposium, Univerität Innsbruck, 29 September 2017, Innsbruck.</w:t>
      </w:r>
    </w:p>
    <w:p w:rsidR="00723B9B" w:rsidRPr="004A32A4" w:rsidRDefault="00723B9B" w:rsidP="00723B9B">
      <w:pPr>
        <w:pStyle w:val="1Aufzhlung"/>
        <w:rPr>
          <w:lang w:val="en-GB"/>
        </w:rPr>
      </w:pPr>
      <w:r w:rsidRPr="004A32A4">
        <w:rPr>
          <w:b/>
          <w:lang w:val="it-IT"/>
        </w:rPr>
        <w:t>Strasser, H.</w:t>
      </w:r>
      <w:r w:rsidRPr="004A32A4">
        <w:rPr>
          <w:lang w:val="it-IT"/>
        </w:rPr>
        <w:t xml:space="preserve">, Rauch, H., &amp; Zelger, R. (2017) Biological control of adult </w:t>
      </w:r>
      <w:r w:rsidRPr="004A32A4">
        <w:rPr>
          <w:i/>
          <w:lang w:val="it-IT"/>
        </w:rPr>
        <w:t>Diabrotica s</w:t>
      </w:r>
      <w:r w:rsidRPr="004A32A4">
        <w:rPr>
          <w:lang w:val="it-IT"/>
        </w:rPr>
        <w:t xml:space="preserve">pray experiments with </w:t>
      </w:r>
      <w:r w:rsidRPr="004A32A4">
        <w:rPr>
          <w:i/>
          <w:lang w:val="it-IT"/>
        </w:rPr>
        <w:t>Metarhizium brunneum</w:t>
      </w:r>
      <w:r w:rsidRPr="004A32A4">
        <w:rPr>
          <w:lang w:val="it-IT"/>
        </w:rPr>
        <w:t xml:space="preserve"> strain BIPESCO 5 under real farm conditions. Is IPM ready for Micorbial Control agents?</w:t>
      </w:r>
      <w:r w:rsidRPr="004A32A4">
        <w:rPr>
          <w:iCs/>
          <w:lang w:val="en-GB"/>
        </w:rPr>
        <w:t xml:space="preserve"> 16</w:t>
      </w:r>
      <w:r w:rsidRPr="004A32A4">
        <w:rPr>
          <w:iCs/>
          <w:vertAlign w:val="superscript"/>
          <w:lang w:val="en-GB"/>
        </w:rPr>
        <w:t>th</w:t>
      </w:r>
      <w:r w:rsidRPr="004A32A4">
        <w:rPr>
          <w:iCs/>
          <w:lang w:val="en-GB"/>
        </w:rPr>
        <w:t xml:space="preserve"> Meeting of the IOBC working group “Microbial and Nematode Control of Invertebrate Pests”. 11 </w:t>
      </w:r>
      <w:r w:rsidRPr="004A32A4">
        <w:rPr>
          <w:iCs/>
          <w:lang w:val="en-US"/>
        </w:rPr>
        <w:t>- 15 June 2017,</w:t>
      </w:r>
      <w:r w:rsidRPr="004A32A4">
        <w:rPr>
          <w:lang w:val="it-IT"/>
        </w:rPr>
        <w:t xml:space="preserve"> Tbilisi, Georgia.</w:t>
      </w:r>
    </w:p>
    <w:p w:rsidR="00723B9B" w:rsidRPr="004A32A4" w:rsidRDefault="00723B9B" w:rsidP="00723B9B">
      <w:pPr>
        <w:pStyle w:val="1Aufzhlung"/>
        <w:rPr>
          <w:lang w:val="it-IT"/>
        </w:rPr>
      </w:pPr>
      <w:r w:rsidRPr="004A32A4">
        <w:rPr>
          <w:lang w:val="it-IT"/>
        </w:rPr>
        <w:t xml:space="preserve">Zottele, M. &amp; Strasser, H. (2017) </w:t>
      </w:r>
      <w:r w:rsidRPr="004A32A4">
        <w:rPr>
          <w:i/>
          <w:lang w:val="it-IT"/>
        </w:rPr>
        <w:t>Metarhizium brunneum</w:t>
      </w:r>
      <w:r w:rsidRPr="004A32A4">
        <w:rPr>
          <w:lang w:val="it-IT"/>
        </w:rPr>
        <w:t xml:space="preserve"> BIPESCO 5: a sustainable and preventive biological control agent to control </w:t>
      </w:r>
      <w:r w:rsidRPr="004A32A4">
        <w:rPr>
          <w:i/>
          <w:lang w:val="it-IT"/>
        </w:rPr>
        <w:t>Diabrotica virgifera virgifera</w:t>
      </w:r>
      <w:r w:rsidRPr="004A32A4">
        <w:rPr>
          <w:lang w:val="it-IT"/>
        </w:rPr>
        <w:t xml:space="preserve"> larvae. 16</w:t>
      </w:r>
      <w:r w:rsidRPr="004A32A4">
        <w:rPr>
          <w:vertAlign w:val="superscript"/>
          <w:lang w:val="it-IT"/>
        </w:rPr>
        <w:t>th</w:t>
      </w:r>
      <w:r w:rsidRPr="004A32A4">
        <w:rPr>
          <w:lang w:val="it-IT"/>
        </w:rPr>
        <w:t xml:space="preserve"> Meeting of the IOBC working group “Microbial and Nematode Control of Invertebrate Pests”. 11 - 15 June 2017, Tbilisi, Georgia.</w:t>
      </w:r>
    </w:p>
    <w:p w:rsidR="00723B9B" w:rsidRPr="004A32A4" w:rsidRDefault="00723B9B" w:rsidP="00723B9B">
      <w:pPr>
        <w:pStyle w:val="1Aufzhlung"/>
      </w:pPr>
      <w:r w:rsidRPr="004A32A4">
        <w:rPr>
          <w:b/>
        </w:rPr>
        <w:t>Strasser, H.</w:t>
      </w:r>
      <w:r w:rsidRPr="004A32A4">
        <w:t xml:space="preserve"> (2017) </w:t>
      </w:r>
      <w:r w:rsidRPr="004A32A4">
        <w:rPr>
          <w:i/>
          <w:iCs/>
        </w:rPr>
        <w:t xml:space="preserve">Metarhizium brunneum - </w:t>
      </w:r>
      <w:r w:rsidRPr="004A32A4">
        <w:t>der biologische Wirkstoff zur nachhaltigen Bekämpfung des Maiswurzelbohrers</w:t>
      </w:r>
      <w:r w:rsidRPr="004A32A4">
        <w:rPr>
          <w:b/>
        </w:rPr>
        <w:t>.</w:t>
      </w:r>
      <w:r w:rsidRPr="004A32A4">
        <w:t xml:space="preserve"> Infoveranstaltung der Südoststeirischen Maisbauern.  31 Jänner 2017, Oberpurkla.</w:t>
      </w:r>
    </w:p>
    <w:p w:rsidR="00723B9B" w:rsidRPr="004A32A4" w:rsidRDefault="00723B9B" w:rsidP="00723B9B">
      <w:pPr>
        <w:pStyle w:val="1Aufzhlung"/>
      </w:pPr>
      <w:r w:rsidRPr="004A32A4">
        <w:rPr>
          <w:b/>
        </w:rPr>
        <w:t>Strasser, H.</w:t>
      </w:r>
      <w:r w:rsidRPr="004A32A4">
        <w:t xml:space="preserve"> (2016) </w:t>
      </w:r>
      <w:r w:rsidRPr="004A32A4">
        <w:rPr>
          <w:i/>
          <w:iCs/>
        </w:rPr>
        <w:t xml:space="preserve">Metarhizium brunneum - </w:t>
      </w:r>
      <w:r w:rsidRPr="004A32A4">
        <w:t>der biologische Wirkstoff zur nachhaltigen Bekämpfung des Maiswurzelbohrers. 57</w:t>
      </w:r>
      <w:r w:rsidRPr="004A32A4">
        <w:rPr>
          <w:vertAlign w:val="superscript"/>
        </w:rPr>
        <w:t>.</w:t>
      </w:r>
      <w:r w:rsidRPr="004A32A4">
        <w:t xml:space="preserve"> Österreichische Pflanzenschutztage, 29 November 2016, Wels.</w:t>
      </w:r>
    </w:p>
    <w:p w:rsidR="00723B9B" w:rsidRPr="004A32A4" w:rsidRDefault="00723B9B" w:rsidP="00723B9B">
      <w:pPr>
        <w:pStyle w:val="1Aufzhlung"/>
      </w:pPr>
      <w:r w:rsidRPr="004A32A4">
        <w:rPr>
          <w:b/>
        </w:rPr>
        <w:t>Strasser, H.</w:t>
      </w:r>
      <w:r w:rsidRPr="004A32A4">
        <w:t xml:space="preserve"> (2016) </w:t>
      </w:r>
      <w:r w:rsidRPr="004A32A4">
        <w:rPr>
          <w:lang w:val="it-IT"/>
        </w:rPr>
        <w:t>Kritische Betrachtung der Anforderungen für die EU-Zulassung von antagonistischen Pilzen (Critical review regarding requirements for EU authorization of antagonistic active fungi). 71. ALVA “Tagung Eiweißpflanzen - Strategien und Chancen für Landwirtschaft und Industrie”. 31 May 2016, Klagenfurt.</w:t>
      </w:r>
    </w:p>
    <w:p w:rsidR="00723B9B" w:rsidRPr="004A32A4" w:rsidRDefault="00723B9B" w:rsidP="00723B9B">
      <w:pPr>
        <w:pStyle w:val="1Aufzhlung"/>
      </w:pPr>
      <w:r w:rsidRPr="004A32A4">
        <w:rPr>
          <w:b/>
        </w:rPr>
        <w:t>Strasser, H.</w:t>
      </w:r>
      <w:r w:rsidRPr="004A32A4">
        <w:t xml:space="preserve"> (2016) DIACONT - Maiswurzelbohrerbekämpfung  2016</w:t>
      </w:r>
      <w:r w:rsidRPr="004A32A4">
        <w:rPr>
          <w:b/>
        </w:rPr>
        <w:t>.</w:t>
      </w:r>
      <w:r w:rsidRPr="004A32A4">
        <w:t>. Infoveranstaltung der Südoststeirischen Maisbauern.16 März 2016, Oberpurkla</w:t>
      </w:r>
    </w:p>
    <w:p w:rsidR="00723B9B" w:rsidRPr="004A32A4" w:rsidRDefault="00723B9B" w:rsidP="009B6BDD">
      <w:pPr>
        <w:pStyle w:val="11Unterkapitel"/>
        <w:rPr>
          <w:rStyle w:val="Fett"/>
        </w:rPr>
      </w:pPr>
      <w:bookmarkStart w:id="402" w:name="_Toc7715658"/>
      <w:r w:rsidRPr="004A32A4">
        <w:rPr>
          <w:rStyle w:val="Fett"/>
        </w:rPr>
        <w:t>Master-Arbeiten</w:t>
      </w:r>
      <w:bookmarkEnd w:id="402"/>
      <w:r w:rsidRPr="004A32A4">
        <w:rPr>
          <w:rStyle w:val="Fett"/>
        </w:rPr>
        <w:t xml:space="preserve"> </w:t>
      </w:r>
    </w:p>
    <w:p w:rsidR="00723B9B" w:rsidRPr="00CF4AD8" w:rsidRDefault="00723B9B" w:rsidP="00723B9B">
      <w:pPr>
        <w:pStyle w:val="1Aufzhlung"/>
        <w:rPr>
          <w:lang w:val="de-DE"/>
        </w:rPr>
      </w:pPr>
      <w:r w:rsidRPr="004A32A4">
        <w:t xml:space="preserve">Gruber, Alexandra: Überprüfung alternativer biologischer Wirkstoffe zum Schutz des Maises vor dem Maiswurzelbohrer im Feldversuch. </w:t>
      </w:r>
      <w:r w:rsidRPr="00CF4AD8">
        <w:rPr>
          <w:lang w:val="de-DE"/>
        </w:rPr>
        <w:t xml:space="preserve">Master Thesis, Leopold-Franzens Universität Innsbruck, </w:t>
      </w:r>
      <w:r w:rsidRPr="00CF4AD8">
        <w:rPr>
          <w:b/>
          <w:bCs/>
          <w:lang w:val="de-DE"/>
        </w:rPr>
        <w:t>laufend</w:t>
      </w:r>
      <w:r w:rsidRPr="00CF4AD8">
        <w:rPr>
          <w:lang w:val="de-DE"/>
        </w:rPr>
        <w:t xml:space="preserve">. </w:t>
      </w:r>
    </w:p>
    <w:p w:rsidR="00723B9B" w:rsidRPr="004A32A4" w:rsidRDefault="00723B9B" w:rsidP="00723B9B">
      <w:pPr>
        <w:pStyle w:val="1Aufzhlung"/>
      </w:pPr>
      <w:r w:rsidRPr="004A32A4">
        <w:rPr>
          <w:lang w:val="en-US"/>
        </w:rPr>
        <w:t xml:space="preserve">Pabst, Christopher Oliver (2018) Efficacy and robustness of </w:t>
      </w:r>
      <w:r w:rsidRPr="004A32A4">
        <w:rPr>
          <w:i/>
          <w:lang w:val="en-US"/>
        </w:rPr>
        <w:t>Metarhizium brunneum</w:t>
      </w:r>
      <w:r w:rsidRPr="004A32A4">
        <w:rPr>
          <w:lang w:val="en-US"/>
        </w:rPr>
        <w:t xml:space="preserve"> formulations tested in pot trials to control the maize pest </w:t>
      </w:r>
      <w:r w:rsidRPr="004A32A4">
        <w:rPr>
          <w:i/>
          <w:lang w:val="en-US"/>
        </w:rPr>
        <w:t>Diabrotica virgifera virgifera</w:t>
      </w:r>
      <w:r w:rsidRPr="004A32A4">
        <w:rPr>
          <w:lang w:val="en-US"/>
        </w:rPr>
        <w:t xml:space="preserve">. </w:t>
      </w:r>
      <w:r w:rsidRPr="004A32A4">
        <w:t xml:space="preserve">Master Thesis, Leopold-Franzens Universität Innsbruck. </w:t>
      </w:r>
    </w:p>
    <w:p w:rsidR="00723B9B" w:rsidRPr="004A32A4" w:rsidRDefault="00723B9B" w:rsidP="00723B9B">
      <w:pPr>
        <w:pStyle w:val="1Aufzhlung"/>
        <w:rPr>
          <w:lang w:val="en-US"/>
        </w:rPr>
      </w:pPr>
      <w:r w:rsidRPr="004A32A4">
        <w:t xml:space="preserve">Schweisgut, Martina (2018) Untersuchungen zur apparenten Abundanz des Entomopathogens </w:t>
      </w:r>
      <w:r w:rsidRPr="004A32A4">
        <w:rPr>
          <w:i/>
        </w:rPr>
        <w:t>Metarhizium brunneum</w:t>
      </w:r>
      <w:r w:rsidRPr="004A32A4">
        <w:t xml:space="preserve"> (Metsch.) Sorok im Rahmen einer Langzeit-Feldstudie zur Bekämpfung von </w:t>
      </w:r>
      <w:r w:rsidRPr="004A32A4">
        <w:rPr>
          <w:i/>
        </w:rPr>
        <w:t>Diabrotica virgifera virgifera</w:t>
      </w:r>
      <w:r w:rsidRPr="004A32A4">
        <w:t xml:space="preserve">. </w:t>
      </w:r>
      <w:r w:rsidRPr="004A32A4">
        <w:rPr>
          <w:lang w:val="en-US"/>
        </w:rPr>
        <w:t>Master Thesis, Leopold-Franzens Universität Innsbruck.</w:t>
      </w:r>
    </w:p>
    <w:p w:rsidR="00723B9B" w:rsidRDefault="00723B9B" w:rsidP="00723B9B">
      <w:pPr>
        <w:pStyle w:val="1Aufzhlung"/>
        <w:rPr>
          <w:lang w:val="en-US"/>
        </w:rPr>
      </w:pPr>
      <w:r w:rsidRPr="004A32A4">
        <w:rPr>
          <w:lang w:val="en-US"/>
        </w:rPr>
        <w:t xml:space="preserve">Zottele, Maria (2017) Assessment of Metarhizium brunneum BIPESCO 5: a sustainable and preventive biological control agent to control </w:t>
      </w:r>
      <w:r w:rsidRPr="004A32A4">
        <w:rPr>
          <w:i/>
          <w:lang w:val="en-US"/>
        </w:rPr>
        <w:t>Diabrotica virgifera virgifera</w:t>
      </w:r>
      <w:r w:rsidRPr="004A32A4">
        <w:rPr>
          <w:lang w:val="en-US"/>
        </w:rPr>
        <w:t xml:space="preserve"> larvae. Master Thesis, Leopold-Franzens Universität Innsbruck.</w:t>
      </w:r>
    </w:p>
    <w:p w:rsidR="00CF4AD8" w:rsidRPr="00CF4AD8" w:rsidRDefault="00CF4AD8" w:rsidP="00CF4AD8">
      <w:pPr>
        <w:pStyle w:val="1Aufzhlung"/>
        <w:rPr>
          <w:lang w:val="de-DE"/>
        </w:rPr>
      </w:pPr>
      <w:r w:rsidRPr="00CF4AD8">
        <w:rPr>
          <w:lang w:val="de-DE"/>
        </w:rPr>
        <w:t>Laireiter, Christina (2016) Evaluierung von Stress Protec</w:t>
      </w:r>
      <w:r>
        <w:rPr>
          <w:lang w:val="de-DE"/>
        </w:rPr>
        <w:t>ting Agents (SPAS) für Pflanzen</w:t>
      </w:r>
    </w:p>
    <w:p w:rsidR="00CF4AD8" w:rsidRPr="00CF4AD8" w:rsidRDefault="00CF4AD8" w:rsidP="00CF4AD8">
      <w:pPr>
        <w:pStyle w:val="1Aufzhlung"/>
        <w:rPr>
          <w:lang w:val="de-DE"/>
        </w:rPr>
      </w:pPr>
      <w:r>
        <w:rPr>
          <w:lang w:val="de-DE"/>
        </w:rPr>
        <w:t xml:space="preserve">Murgu, Octavian (2017) Interaktionen von wachstumsfördernden Rhizosphärenbakterien mit Pilzen und ihren Wirtspflanzen. </w:t>
      </w:r>
    </w:p>
    <w:p w:rsidR="00CF4AD8" w:rsidRPr="00CF4AD8" w:rsidRDefault="00CF4AD8" w:rsidP="00CF4AD8">
      <w:pPr>
        <w:pStyle w:val="1Aufzhlung"/>
        <w:rPr>
          <w:lang w:val="de-DE"/>
        </w:rPr>
      </w:pPr>
      <w:r w:rsidRPr="00CF4AD8">
        <w:rPr>
          <w:lang w:val="de-DE"/>
        </w:rPr>
        <w:t xml:space="preserve"> </w:t>
      </w:r>
      <w:r>
        <w:rPr>
          <w:lang w:val="de-DE"/>
        </w:rPr>
        <w:t xml:space="preserve">Ellmaier, Katrin (2018) Effekte von </w:t>
      </w:r>
      <w:r w:rsidRPr="00CF4AD8">
        <w:rPr>
          <w:i/>
          <w:lang w:val="de-DE"/>
        </w:rPr>
        <w:t>Stenotrophomonas rhizophila</w:t>
      </w:r>
      <w:r>
        <w:rPr>
          <w:lang w:val="de-DE"/>
        </w:rPr>
        <w:t xml:space="preserve"> auf von </w:t>
      </w:r>
      <w:r w:rsidRPr="00CF4AD8">
        <w:rPr>
          <w:i/>
          <w:lang w:val="de-DE"/>
        </w:rPr>
        <w:t>Diabrotica virgifera</w:t>
      </w:r>
      <w:r>
        <w:rPr>
          <w:lang w:val="de-DE"/>
        </w:rPr>
        <w:t xml:space="preserve"> befallenen </w:t>
      </w:r>
      <w:r w:rsidRPr="00CF4AD8">
        <w:rPr>
          <w:i/>
          <w:lang w:val="de-DE"/>
        </w:rPr>
        <w:t>Zea mays</w:t>
      </w:r>
      <w:r>
        <w:rPr>
          <w:lang w:val="de-DE"/>
        </w:rPr>
        <w:t xml:space="preserve">. </w:t>
      </w:r>
    </w:p>
    <w:p w:rsidR="00973BAB" w:rsidRPr="00CF4AD8" w:rsidRDefault="00000AAE" w:rsidP="00000AAE">
      <w:pPr>
        <w:rPr>
          <w:lang w:val="de-DE"/>
        </w:rPr>
      </w:pPr>
      <w:r w:rsidRPr="00CF4AD8">
        <w:rPr>
          <w:lang w:val="de-DE"/>
        </w:rPr>
        <w:br w:type="page"/>
      </w:r>
    </w:p>
    <w:p w:rsidR="00000AAE" w:rsidRDefault="00845587" w:rsidP="00845587">
      <w:pPr>
        <w:pStyle w:val="1Unterkapitel"/>
      </w:pPr>
      <w:bookmarkStart w:id="403" w:name="_Toc7715659"/>
      <w:r>
        <w:t xml:space="preserve">Im Rahmen des Projektes durchgeführte </w:t>
      </w:r>
      <w:r w:rsidR="00973BAB">
        <w:t>masterarbeiten</w:t>
      </w:r>
      <w:bookmarkEnd w:id="403"/>
    </w:p>
    <w:p w:rsidR="00000AAE" w:rsidRPr="00000AAE" w:rsidRDefault="00000AAE" w:rsidP="00845587">
      <w:pPr>
        <w:pStyle w:val="11Unterkapitel"/>
      </w:pPr>
      <w:bookmarkStart w:id="404" w:name="_Toc7715660"/>
      <w:r>
        <w:t>liste der an der Uni innsbruck durchgeführten Masterarbeiten</w:t>
      </w:r>
      <w:bookmarkEnd w:id="404"/>
    </w:p>
    <w:p w:rsidR="00000AAE" w:rsidRPr="00F75C9D" w:rsidRDefault="00723B9B" w:rsidP="00845587">
      <w:pPr>
        <w:pStyle w:val="12Unterkapitel"/>
        <w:rPr>
          <w:lang w:val="en-US"/>
        </w:rPr>
      </w:pPr>
      <w:bookmarkStart w:id="405" w:name="_Toc7715661"/>
      <w:r w:rsidRPr="00F75C9D">
        <w:rPr>
          <w:lang w:val="en-US"/>
        </w:rPr>
        <w:t>Pabst, Christopher Oliver (2018)</w:t>
      </w:r>
      <w:bookmarkEnd w:id="405"/>
      <w:r w:rsidRPr="00F75C9D">
        <w:rPr>
          <w:lang w:val="en-US"/>
        </w:rPr>
        <w:t xml:space="preserve"> </w:t>
      </w:r>
    </w:p>
    <w:p w:rsidR="00BE0FF1" w:rsidRPr="00BE0FF1" w:rsidRDefault="00BE0FF1" w:rsidP="00723B9B">
      <w:pPr>
        <w:keepNext/>
        <w:spacing w:before="270"/>
        <w:rPr>
          <w:rFonts w:eastAsia="Times New Roman"/>
          <w:bCs/>
          <w:caps/>
          <w:color w:val="000000"/>
          <w:lang w:val="en-US"/>
        </w:rPr>
      </w:pPr>
      <w:r w:rsidRPr="00BE0FF1">
        <w:rPr>
          <w:rFonts w:eastAsia="Times New Roman"/>
          <w:bCs/>
          <w:caps/>
          <w:color w:val="000000"/>
          <w:lang w:val="en-US"/>
        </w:rPr>
        <w:t>Titel:</w:t>
      </w:r>
      <w:r w:rsidRPr="00BE0FF1">
        <w:rPr>
          <w:lang w:val="en-US"/>
        </w:rPr>
        <w:t xml:space="preserve"> </w:t>
      </w:r>
      <w:r w:rsidRPr="00BE0FF1">
        <w:rPr>
          <w:rFonts w:eastAsia="Times New Roman"/>
          <w:bCs/>
          <w:caps/>
          <w:color w:val="000000"/>
          <w:lang w:val="en-US"/>
        </w:rPr>
        <w:t>Efficacy and robustness of Metarhizium brunneum formulations tested in pot trials to control the maize pest Diabrotica virgifera virgifera</w:t>
      </w:r>
    </w:p>
    <w:p w:rsidR="00723B9B" w:rsidRPr="00000AAE" w:rsidRDefault="00723B9B" w:rsidP="00723B9B">
      <w:pPr>
        <w:keepNext/>
        <w:spacing w:before="270"/>
        <w:rPr>
          <w:rFonts w:eastAsia="Times New Roman"/>
          <w:bCs/>
          <w:caps/>
          <w:color w:val="000000"/>
        </w:rPr>
      </w:pPr>
      <w:r w:rsidRPr="00000AAE">
        <w:rPr>
          <w:rFonts w:eastAsia="Times New Roman"/>
          <w:bCs/>
          <w:caps/>
          <w:color w:val="000000"/>
        </w:rPr>
        <w:t>Zusammenfassung</w:t>
      </w:r>
    </w:p>
    <w:p w:rsidR="00723B9B" w:rsidRPr="004A32A4" w:rsidRDefault="00723B9B" w:rsidP="00973BAB">
      <w:pPr>
        <w:spacing w:before="270" w:line="270" w:lineRule="exact"/>
        <w:ind w:firstLine="709"/>
        <w:jc w:val="both"/>
        <w:rPr>
          <w:rFonts w:eastAsia="Times New Roman"/>
          <w:color w:val="000000"/>
        </w:rPr>
      </w:pPr>
      <w:r w:rsidRPr="004A32A4">
        <w:rPr>
          <w:rFonts w:ascii="Cambria" w:eastAsia="Times New Roman" w:hAnsi="Cambria" w:cs="Cambria"/>
          <w:color w:val="000000"/>
          <w:lang w:eastAsia="de-AT"/>
        </w:rPr>
        <w:t xml:space="preserve">Ziel dieser Masterarbeit war, die Wirksamkeit und Persistenz von verschiedenen </w:t>
      </w:r>
      <w:r w:rsidRPr="004A32A4">
        <w:rPr>
          <w:rFonts w:eastAsia="Times New Roman"/>
          <w:color w:val="000000"/>
        </w:rPr>
        <w:t xml:space="preserve">Formulierungen des entomopathogenen Pilzes </w:t>
      </w:r>
      <w:r w:rsidRPr="004A32A4">
        <w:rPr>
          <w:rFonts w:eastAsia="Times New Roman"/>
          <w:i/>
          <w:iCs/>
          <w:color w:val="000000"/>
        </w:rPr>
        <w:t>Metarhizium brunneum</w:t>
      </w:r>
      <w:r w:rsidRPr="004A32A4">
        <w:rPr>
          <w:rFonts w:eastAsia="Times New Roman"/>
          <w:color w:val="000000"/>
        </w:rPr>
        <w:t xml:space="preserve">, sowie die in Österreich zugelassenen Schädlingsbekämpfungsmittel gegenüber </w:t>
      </w:r>
      <w:r w:rsidR="00871DEE" w:rsidRPr="004A32A4">
        <w:rPr>
          <w:rFonts w:eastAsia="Times New Roman"/>
          <w:color w:val="000000"/>
        </w:rPr>
        <w:t>dem westlichen Maiswurzelbohrer</w:t>
      </w:r>
      <w:r w:rsidRPr="004A32A4">
        <w:rPr>
          <w:rFonts w:eastAsia="Times New Roman"/>
          <w:color w:val="000000"/>
        </w:rPr>
        <w:t xml:space="preserve">, </w:t>
      </w:r>
      <w:r w:rsidRPr="004A32A4">
        <w:rPr>
          <w:rFonts w:eastAsia="Times New Roman"/>
          <w:i/>
          <w:iCs/>
          <w:color w:val="000000"/>
        </w:rPr>
        <w:t xml:space="preserve">Diabrotica virgifera virgifera </w:t>
      </w:r>
      <w:r w:rsidRPr="004A32A4">
        <w:rPr>
          <w:rFonts w:eastAsia="Times New Roman"/>
          <w:color w:val="000000"/>
        </w:rPr>
        <w:t xml:space="preserve">(Coleoptera: Chrysomelidae), zu untersuchen. Der experimentelle Aufbau mit acht verschiedenen Behandlungen wurde in einem randomisierten Topfversuch, in einem Gewächshaus, über einen Zeitraum von 18 Wochen durchgeführt. Die Dichte und Persistenz von </w:t>
      </w:r>
      <w:r w:rsidRPr="004A32A4">
        <w:rPr>
          <w:rFonts w:eastAsia="Times New Roman"/>
          <w:i/>
          <w:iCs/>
          <w:color w:val="000000"/>
        </w:rPr>
        <w:t>Metarhizium spp.</w:t>
      </w:r>
      <w:r w:rsidRPr="004A32A4">
        <w:rPr>
          <w:rFonts w:ascii="Cambria,Italic" w:eastAsia="Times New Roman" w:hAnsi="Cambria,Italic" w:cs="Cambria,Italic"/>
          <w:i/>
          <w:iCs/>
          <w:color w:val="000000"/>
        </w:rPr>
        <w:t xml:space="preserve"> </w:t>
      </w:r>
      <w:r w:rsidRPr="004A32A4">
        <w:rPr>
          <w:rFonts w:eastAsia="Times New Roman"/>
          <w:color w:val="000000"/>
        </w:rPr>
        <w:t xml:space="preserve">wurde mittels Erhebung der Koloniebildenden Einheiten (KBE-Auszählung) bestimmt. Um sicherzustellen, dass kein Produktionsstamm in der indigenen Pilzbodengemeinschaft bereits vor der Behandlung vertreten ist, dass sich kein Produktionsstamm in den unbehandelten Versuchstöpfen befindet, und dass sich der applizierte Produktionsstamm eindeutig aus den behandelten Versuchstöpfen ruckisolieren lässt, wurde eine Genotypisierung ausgewählter </w:t>
      </w:r>
      <w:r w:rsidRPr="004A32A4">
        <w:rPr>
          <w:rFonts w:eastAsia="Times New Roman"/>
          <w:i/>
          <w:iCs/>
          <w:color w:val="000000"/>
        </w:rPr>
        <w:t xml:space="preserve">Metarhizium spp. </w:t>
      </w:r>
      <w:r w:rsidRPr="004A32A4">
        <w:rPr>
          <w:rFonts w:eastAsia="Times New Roman"/>
          <w:color w:val="000000"/>
        </w:rPr>
        <w:t>Kulturen durchgeführt. Der Genotyp des Produktionsstammes konnte neun Wochen nach Applikation in 11 von 12 Isolaten (91,7 %) und 18 Wochen nach Ausbringung des Pilz-Wirkstoffes zu 100 Prozent nachgewiesen werden. Somit konnte mit nahezu einhundert Prozent Wiederfindungsrate eine erfolgreiche Ausbringung des Pilzproduktes GranMet</w:t>
      </w:r>
      <w:r w:rsidRPr="004A32A4">
        <w:rPr>
          <w:rFonts w:eastAsia="Times New Roman"/>
          <w:color w:val="000000"/>
          <w:sz w:val="16"/>
          <w:szCs w:val="16"/>
          <w:vertAlign w:val="superscript"/>
        </w:rPr>
        <w:t>TM</w:t>
      </w:r>
      <w:r w:rsidRPr="004A32A4">
        <w:rPr>
          <w:rFonts w:eastAsia="Times New Roman"/>
          <w:color w:val="000000"/>
          <w:sz w:val="16"/>
          <w:szCs w:val="16"/>
        </w:rPr>
        <w:t xml:space="preserve"> </w:t>
      </w:r>
      <w:r w:rsidRPr="004A32A4">
        <w:rPr>
          <w:rFonts w:eastAsia="Times New Roman"/>
          <w:color w:val="000000"/>
        </w:rPr>
        <w:t xml:space="preserve">bestätigt werden. Die Abundanz von </w:t>
      </w:r>
      <w:r w:rsidRPr="004A32A4">
        <w:rPr>
          <w:rFonts w:eastAsia="Times New Roman"/>
          <w:i/>
          <w:iCs/>
          <w:color w:val="000000"/>
        </w:rPr>
        <w:t>Metarhizium spp.</w:t>
      </w:r>
      <w:r w:rsidRPr="004A32A4">
        <w:rPr>
          <w:rFonts w:ascii="Cambria,Italic" w:eastAsia="Times New Roman" w:hAnsi="Cambria,Italic" w:cs="Cambria,Italic"/>
          <w:i/>
          <w:iCs/>
          <w:color w:val="000000"/>
        </w:rPr>
        <w:t xml:space="preserve"> </w:t>
      </w:r>
      <w:r w:rsidRPr="004A32A4">
        <w:rPr>
          <w:rFonts w:eastAsia="Times New Roman"/>
          <w:color w:val="000000"/>
        </w:rPr>
        <w:t xml:space="preserve">(KBE pro g Bodentrockengewicht) steigerte sich von einem Median-Wert von 3.044 in Woche 0, vor Applikation, auf einen Median-Wert von 73.213 und 66.550 KBEs innerhalb von 9 Wochen in den mit Pilzgerste behandelten Töpfen. Nach weiteren neun Wochen nahm die </w:t>
      </w:r>
      <w:r w:rsidRPr="004A32A4">
        <w:rPr>
          <w:rFonts w:eastAsia="Times New Roman"/>
          <w:i/>
          <w:iCs/>
          <w:color w:val="000000"/>
        </w:rPr>
        <w:t>Metarhizium</w:t>
      </w:r>
      <w:r w:rsidRPr="004A32A4">
        <w:rPr>
          <w:rFonts w:eastAsia="Times New Roman"/>
          <w:color w:val="000000"/>
        </w:rPr>
        <w:t xml:space="preserve">- Pilzdichte wiederum um die Hälfte ab (Median-Werte: 30.234 bzw. 54.035 KBEs). Folglich wurde eine Abundanzsteigerung der </w:t>
      </w:r>
      <w:r w:rsidRPr="004A32A4">
        <w:rPr>
          <w:rFonts w:eastAsia="Times New Roman"/>
          <w:i/>
          <w:iCs/>
          <w:color w:val="000000"/>
        </w:rPr>
        <w:t>Metarhizium spp.</w:t>
      </w:r>
      <w:r w:rsidRPr="004A32A4">
        <w:rPr>
          <w:rFonts w:ascii="Cambria,Italic" w:eastAsia="Times New Roman" w:hAnsi="Cambria,Italic" w:cs="Cambria,Italic"/>
          <w:i/>
          <w:iCs/>
          <w:color w:val="000000"/>
        </w:rPr>
        <w:t xml:space="preserve"> </w:t>
      </w:r>
      <w:r w:rsidRPr="004A32A4">
        <w:rPr>
          <w:rFonts w:eastAsia="Times New Roman"/>
          <w:color w:val="000000"/>
        </w:rPr>
        <w:t xml:space="preserve">Pilzdichte um das Zwanzigfache nach 9 Wochen erreicht, welche sich nach 18 Wochen um etwa das Zweifache wiederum verringerte. Die geringste Zahl an gefangenen </w:t>
      </w:r>
      <w:r w:rsidRPr="004A32A4">
        <w:rPr>
          <w:rFonts w:eastAsia="Times New Roman"/>
          <w:i/>
          <w:iCs/>
          <w:color w:val="000000"/>
        </w:rPr>
        <w:t>Diabrotica v. virgifera</w:t>
      </w:r>
      <w:r w:rsidRPr="004A32A4">
        <w:rPr>
          <w:rFonts w:ascii="Cambria,Italic" w:eastAsia="Times New Roman" w:hAnsi="Cambria,Italic" w:cs="Cambria,Italic"/>
          <w:i/>
          <w:iCs/>
          <w:color w:val="000000"/>
        </w:rPr>
        <w:t xml:space="preserve"> </w:t>
      </w:r>
      <w:r w:rsidRPr="004A32A4">
        <w:rPr>
          <w:rFonts w:eastAsia="Times New Roman"/>
          <w:color w:val="000000"/>
        </w:rPr>
        <w:t>Käfern wurde in der Variante "Kombination von Nematoden und Pilzgerste" nachgewiesen (Durchschnittswert: 1,7 Käfer). Die höchste Käferzahl wurde im Kontroll-Ansatz "Topf mit sterilen Gerstenkörnern behandelt" mit 7,8 Käfern bestimmt.</w:t>
      </w:r>
    </w:p>
    <w:p w:rsidR="00723B9B" w:rsidRPr="004A32A4" w:rsidRDefault="00723B9B" w:rsidP="00845587">
      <w:pPr>
        <w:pStyle w:val="12Unterkapitel"/>
      </w:pPr>
      <w:r w:rsidRPr="004A32A4">
        <w:rPr>
          <w:rFonts w:ascii="Verdana-Italic" w:hAnsi="Verdana-Italic" w:cs="Verdana-Italic"/>
          <w:i/>
          <w:iCs/>
        </w:rPr>
        <w:br w:type="page"/>
      </w:r>
      <w:bookmarkStart w:id="406" w:name="_Toc7715662"/>
      <w:r w:rsidRPr="00DF038A">
        <w:t>Schweisgut</w:t>
      </w:r>
      <w:r w:rsidRPr="004A32A4">
        <w:t xml:space="preserve"> </w:t>
      </w:r>
      <w:r w:rsidRPr="00DF038A">
        <w:t xml:space="preserve">Martina </w:t>
      </w:r>
      <w:r w:rsidRPr="004A32A4">
        <w:t>(2018)</w:t>
      </w:r>
      <w:bookmarkEnd w:id="406"/>
      <w:r w:rsidRPr="004A32A4">
        <w:t xml:space="preserve"> </w:t>
      </w:r>
    </w:p>
    <w:p w:rsidR="00BE0FF1" w:rsidRPr="00BE0FF1" w:rsidRDefault="00BE0FF1" w:rsidP="00BE0FF1">
      <w:pPr>
        <w:keepNext/>
        <w:spacing w:before="270"/>
        <w:rPr>
          <w:rFonts w:eastAsia="Times New Roman"/>
          <w:bCs/>
          <w:caps/>
          <w:color w:val="000000"/>
        </w:rPr>
      </w:pPr>
      <w:r>
        <w:rPr>
          <w:rFonts w:eastAsia="Times New Roman"/>
          <w:bCs/>
          <w:caps/>
          <w:color w:val="000000"/>
        </w:rPr>
        <w:t>Titel:</w:t>
      </w:r>
      <w:r w:rsidRPr="00BE0FF1">
        <w:t xml:space="preserve"> </w:t>
      </w:r>
      <w:r w:rsidRPr="00BE0FF1">
        <w:rPr>
          <w:rFonts w:eastAsia="Times New Roman"/>
          <w:bCs/>
          <w:caps/>
          <w:color w:val="000000"/>
        </w:rPr>
        <w:t>Untersuchungen zur apparenten Abundanz des Entomopathogens Metarhizium brunneum (Metsch.) Sorok im Rahmen einer Langzeit-Feldstudie zur Bekämpfung von Diabrotica virgifera virgifera.</w:t>
      </w:r>
    </w:p>
    <w:p w:rsidR="00723B9B" w:rsidRPr="00000AAE" w:rsidRDefault="00723B9B" w:rsidP="00723B9B">
      <w:pPr>
        <w:keepNext/>
        <w:spacing w:before="270"/>
        <w:rPr>
          <w:rFonts w:eastAsia="Times New Roman"/>
          <w:bCs/>
          <w:caps/>
          <w:color w:val="000000"/>
        </w:rPr>
      </w:pPr>
      <w:r w:rsidRPr="00000AAE">
        <w:rPr>
          <w:rFonts w:eastAsia="Times New Roman"/>
          <w:bCs/>
          <w:caps/>
          <w:color w:val="000000"/>
        </w:rPr>
        <w:t>Zusammenfassung</w:t>
      </w:r>
    </w:p>
    <w:p w:rsidR="00723B9B" w:rsidRPr="004A32A4" w:rsidRDefault="00723B9B" w:rsidP="00723B9B">
      <w:pPr>
        <w:spacing w:before="270" w:line="270" w:lineRule="exact"/>
        <w:ind w:firstLine="709"/>
        <w:rPr>
          <w:rFonts w:eastAsia="Times New Roman"/>
          <w:color w:val="000000"/>
        </w:rPr>
      </w:pPr>
      <w:r w:rsidRPr="004A32A4">
        <w:rPr>
          <w:rFonts w:eastAsia="Times New Roman"/>
          <w:color w:val="000000"/>
        </w:rPr>
        <w:t xml:space="preserve">In der vorliegenden Arbeit wurden die Abundanz- und Persistenz-Eigenschaften des entomopathogenen Pilzes </w:t>
      </w:r>
      <w:r w:rsidRPr="004A32A4">
        <w:rPr>
          <w:rFonts w:eastAsia="Times New Roman"/>
          <w:i/>
          <w:iCs/>
          <w:color w:val="000000"/>
        </w:rPr>
        <w:t xml:space="preserve">Metarhizium brunneum </w:t>
      </w:r>
      <w:r w:rsidRPr="004A32A4">
        <w:rPr>
          <w:rFonts w:eastAsia="Times New Roman"/>
          <w:color w:val="000000"/>
        </w:rPr>
        <w:t xml:space="preserve">[Ascomycota: Hypocreales, </w:t>
      </w:r>
      <w:r w:rsidRPr="004A32A4">
        <w:rPr>
          <w:rFonts w:eastAsia="Times New Roman"/>
          <w:i/>
          <w:iCs/>
          <w:color w:val="000000"/>
        </w:rPr>
        <w:t>Clavicipitaceae</w:t>
      </w:r>
      <w:r w:rsidRPr="004A32A4">
        <w:rPr>
          <w:rFonts w:eastAsia="Times New Roman"/>
          <w:color w:val="000000"/>
        </w:rPr>
        <w:t xml:space="preserve">] in einem naturlich vorkommenden Befallsgebiet des Schadinsekts </w:t>
      </w:r>
      <w:r w:rsidRPr="004A32A4">
        <w:rPr>
          <w:rFonts w:eastAsia="Times New Roman"/>
          <w:i/>
          <w:iCs/>
          <w:color w:val="000000"/>
        </w:rPr>
        <w:t xml:space="preserve">Diabrotica virgifera virgifera </w:t>
      </w:r>
      <w:r w:rsidRPr="004A32A4">
        <w:rPr>
          <w:rFonts w:eastAsia="Times New Roman"/>
          <w:color w:val="000000"/>
        </w:rPr>
        <w:t xml:space="preserve">LeConte [Coleoptera: </w:t>
      </w:r>
      <w:r w:rsidRPr="004A32A4">
        <w:rPr>
          <w:rFonts w:eastAsia="Times New Roman"/>
          <w:i/>
          <w:iCs/>
          <w:color w:val="000000"/>
        </w:rPr>
        <w:t>Chrysometidae</w:t>
      </w:r>
      <w:r w:rsidRPr="004A32A4">
        <w:rPr>
          <w:rFonts w:eastAsia="Times New Roman"/>
          <w:color w:val="000000"/>
        </w:rPr>
        <w:t xml:space="preserve">] in der Maisbauregion Südoststeiermark (Region Bad Radkersburg) untersucht. Der gut charakterisierte und als sicher geltende Pilzwirkstoff </w:t>
      </w:r>
      <w:r w:rsidRPr="004A32A4">
        <w:rPr>
          <w:rFonts w:eastAsia="Times New Roman"/>
          <w:i/>
          <w:iCs/>
          <w:color w:val="000000"/>
        </w:rPr>
        <w:t>Metarhizium brunneum</w:t>
      </w:r>
      <w:r w:rsidRPr="004A32A4">
        <w:rPr>
          <w:rFonts w:eastAsia="Times New Roman"/>
          <w:color w:val="000000"/>
        </w:rPr>
        <w:t>, Produktionsstamm BIPESCO 5, wurde auf seine Wirksamkeit, Effizienz und Synergiewirkung gemeinsam mit anderen biologischen und konventionellen Pflanzenschutzmitteln in Anlehnung an die EPPO Richtlinie [PP1/152(4)] getestet. In den Pflanzensaisonen 2013, 2014 und 2015 wurde stets im Frühjahr eine inundative Massenapplikation (50 kg ha</w:t>
      </w:r>
      <w:r w:rsidRPr="004A32A4">
        <w:rPr>
          <w:rFonts w:eastAsia="Times New Roman"/>
          <w:color w:val="000000"/>
          <w:sz w:val="16"/>
          <w:szCs w:val="16"/>
          <w:vertAlign w:val="superscript"/>
        </w:rPr>
        <w:t>-1</w:t>
      </w:r>
      <w:r w:rsidRPr="004A32A4">
        <w:rPr>
          <w:rFonts w:eastAsia="Times New Roman"/>
          <w:color w:val="000000"/>
        </w:rPr>
        <w:t xml:space="preserve">) von </w:t>
      </w:r>
      <w:r w:rsidRPr="004A32A4">
        <w:rPr>
          <w:rFonts w:eastAsia="Times New Roman"/>
          <w:i/>
          <w:iCs/>
          <w:color w:val="000000"/>
        </w:rPr>
        <w:t xml:space="preserve">Metarhizium brunneum </w:t>
      </w:r>
      <w:r w:rsidRPr="004A32A4">
        <w:rPr>
          <w:rFonts w:eastAsia="Times New Roman"/>
          <w:color w:val="000000"/>
        </w:rPr>
        <w:t>als Einzelwirkstoff, aber auch in kombinierter Form, mit und ohne wirksamkeitssteigernden Substanzen durchgefuhrt. Um die populationsregulierende Wirksamkeit der GranMet</w:t>
      </w:r>
      <w:r w:rsidRPr="004A32A4">
        <w:rPr>
          <w:rFonts w:eastAsia="Times New Roman"/>
          <w:color w:val="000000"/>
          <w:vertAlign w:val="superscript"/>
        </w:rPr>
        <w:t>TM</w:t>
      </w:r>
      <w:r w:rsidRPr="004A32A4">
        <w:rPr>
          <w:rFonts w:eastAsia="Times New Roman"/>
          <w:color w:val="000000"/>
        </w:rPr>
        <w:t xml:space="preserve">-Pilzgerste auf die Maiswurzelbohrer-Larven zu überprüfen, wurde pro Studienjahr, zu drei unterschiedlichen Zeitpunkten, Bodenproben an fünf ausgewählten Standorten gezogen und diese mittels Selektivnährmedium hinsichtlich der Abundanz und Persistenz von </w:t>
      </w:r>
      <w:r w:rsidRPr="004A32A4">
        <w:rPr>
          <w:rFonts w:eastAsia="Times New Roman"/>
          <w:i/>
          <w:iCs/>
          <w:color w:val="000000"/>
        </w:rPr>
        <w:t xml:space="preserve">Metarhizium </w:t>
      </w:r>
      <w:r w:rsidRPr="004A32A4">
        <w:rPr>
          <w:rFonts w:eastAsia="Times New Roman"/>
          <w:color w:val="000000"/>
        </w:rPr>
        <w:t xml:space="preserve">spp. und </w:t>
      </w:r>
      <w:r w:rsidRPr="004A32A4">
        <w:rPr>
          <w:rFonts w:eastAsia="Times New Roman"/>
          <w:i/>
          <w:iCs/>
          <w:color w:val="000000"/>
        </w:rPr>
        <w:t xml:space="preserve">Metarhizium brunneum </w:t>
      </w:r>
      <w:r w:rsidRPr="004A32A4">
        <w:rPr>
          <w:rFonts w:eastAsia="Times New Roman"/>
          <w:color w:val="000000"/>
        </w:rPr>
        <w:t>untersucht und bewertet.</w:t>
      </w:r>
    </w:p>
    <w:p w:rsidR="00723B9B" w:rsidRPr="004A32A4" w:rsidRDefault="00723B9B" w:rsidP="00723B9B">
      <w:pPr>
        <w:spacing w:before="270" w:line="276" w:lineRule="auto"/>
        <w:rPr>
          <w:rFonts w:eastAsia="Times New Roman"/>
          <w:color w:val="000000"/>
        </w:rPr>
      </w:pPr>
      <w:r w:rsidRPr="004A32A4">
        <w:rPr>
          <w:rFonts w:eastAsia="Times New Roman"/>
          <w:color w:val="000000"/>
        </w:rPr>
        <w:t xml:space="preserve">In allen Versuchsfeldern konnte der entomopathogene Pilz </w:t>
      </w:r>
      <w:r w:rsidRPr="004A32A4">
        <w:rPr>
          <w:rFonts w:eastAsia="Times New Roman"/>
          <w:i/>
          <w:iCs/>
          <w:color w:val="000000"/>
        </w:rPr>
        <w:t xml:space="preserve">Metarhizium </w:t>
      </w:r>
      <w:r w:rsidRPr="004A32A4">
        <w:rPr>
          <w:rFonts w:eastAsia="Times New Roman"/>
          <w:color w:val="000000"/>
        </w:rPr>
        <w:t>spp. als indigenes Pathogen nachgewiesen werden. In den behandelten Boden konnten Pilzdichten um den Schwellenwert von 1.000 KBE g</w:t>
      </w:r>
      <w:r w:rsidRPr="004A32A4">
        <w:rPr>
          <w:rFonts w:eastAsia="Times New Roman"/>
          <w:color w:val="000000"/>
          <w:sz w:val="16"/>
          <w:szCs w:val="16"/>
          <w:vertAlign w:val="superscript"/>
        </w:rPr>
        <w:t>-1</w:t>
      </w:r>
      <w:r w:rsidRPr="004A32A4">
        <w:rPr>
          <w:rFonts w:eastAsia="Times New Roman"/>
          <w:color w:val="000000"/>
          <w:sz w:val="16"/>
          <w:szCs w:val="16"/>
        </w:rPr>
        <w:t xml:space="preserve"> </w:t>
      </w:r>
      <w:r w:rsidRPr="004A32A4">
        <w:rPr>
          <w:rFonts w:eastAsia="Times New Roman"/>
          <w:color w:val="000000"/>
        </w:rPr>
        <w:t>Boden TG nachgewiesen werden. Nach der Applikation von GranMet</w:t>
      </w:r>
      <w:r w:rsidRPr="004A32A4">
        <w:rPr>
          <w:rFonts w:eastAsia="Times New Roman"/>
          <w:color w:val="000000"/>
          <w:vertAlign w:val="superscript"/>
        </w:rPr>
        <w:t>TM</w:t>
      </w:r>
      <w:r w:rsidRPr="004A32A4">
        <w:rPr>
          <w:rFonts w:eastAsia="Times New Roman"/>
          <w:color w:val="000000"/>
        </w:rPr>
        <w:t xml:space="preserve">-BIPESCO 5 und den wirksamkeitssteigernden Substanzen konnte in der Pflanzensaison 2013 gemäß der Dichtebewertung von </w:t>
      </w:r>
      <w:r w:rsidRPr="004A32A4">
        <w:rPr>
          <w:rFonts w:eastAsia="Times New Roman"/>
          <w:i/>
          <w:iCs/>
          <w:color w:val="000000"/>
        </w:rPr>
        <w:t xml:space="preserve">Metarhizium </w:t>
      </w:r>
      <w:r w:rsidRPr="004A32A4">
        <w:rPr>
          <w:rFonts w:eastAsia="Times New Roman"/>
          <w:color w:val="000000"/>
        </w:rPr>
        <w:t>spp. keine Zunahme der Pilzdichten über die empfohlene „Minimalkonzentration“ von 5.000 KBE g</w:t>
      </w:r>
      <w:r w:rsidRPr="004A32A4">
        <w:rPr>
          <w:rFonts w:eastAsia="Times New Roman"/>
          <w:color w:val="000000"/>
          <w:sz w:val="16"/>
          <w:szCs w:val="16"/>
          <w:vertAlign w:val="superscript"/>
        </w:rPr>
        <w:t xml:space="preserve">-1 </w:t>
      </w:r>
      <w:r w:rsidRPr="004A32A4">
        <w:rPr>
          <w:rFonts w:eastAsia="Times New Roman"/>
          <w:color w:val="000000"/>
        </w:rPr>
        <w:t xml:space="preserve">Boden TG, welche für eine nachhaltige Kontrolle von </w:t>
      </w:r>
      <w:r w:rsidRPr="004A32A4">
        <w:rPr>
          <w:rFonts w:eastAsia="Times New Roman"/>
          <w:i/>
          <w:iCs/>
          <w:color w:val="000000"/>
        </w:rPr>
        <w:t>Diabrotica</w:t>
      </w:r>
      <w:r w:rsidRPr="004A32A4">
        <w:rPr>
          <w:rFonts w:eastAsia="Times New Roman"/>
          <w:color w:val="000000"/>
        </w:rPr>
        <w:t>-Larven notwendig wäre, ermittelt werden. Der applizierte Pilzwirkstoff GranMet</w:t>
      </w:r>
      <w:r w:rsidRPr="004A32A4">
        <w:rPr>
          <w:rFonts w:eastAsia="Times New Roman"/>
          <w:color w:val="000000"/>
          <w:vertAlign w:val="superscript"/>
        </w:rPr>
        <w:t>TM</w:t>
      </w:r>
      <w:r w:rsidRPr="004A32A4">
        <w:rPr>
          <w:rFonts w:eastAsia="Times New Roman"/>
          <w:color w:val="000000"/>
          <w:sz w:val="16"/>
          <w:szCs w:val="16"/>
        </w:rPr>
        <w:t xml:space="preserve"> </w:t>
      </w:r>
      <w:r w:rsidRPr="004A32A4">
        <w:rPr>
          <w:rFonts w:eastAsia="Times New Roman"/>
          <w:color w:val="000000"/>
        </w:rPr>
        <w:t>konnte sich unabhängig von der Formulierung zu diesem Zeitpunkt nicht entscheidend etablieren. In den beiden darauffolgenden Pflanzensaisonen 2014 und 2015 konnte in den GranMet</w:t>
      </w:r>
      <w:r w:rsidRPr="004A32A4">
        <w:rPr>
          <w:rFonts w:eastAsia="Times New Roman"/>
          <w:color w:val="000000"/>
          <w:vertAlign w:val="superscript"/>
        </w:rPr>
        <w:t>TM</w:t>
      </w:r>
      <w:r w:rsidRPr="004A32A4">
        <w:rPr>
          <w:rFonts w:eastAsia="Times New Roman"/>
          <w:color w:val="000000"/>
        </w:rPr>
        <w:t>-behandelten Parzellen, eine Zunahme der Pilzdichten bis zu 32.962 KBE g</w:t>
      </w:r>
      <w:r w:rsidRPr="004A32A4">
        <w:rPr>
          <w:rFonts w:eastAsia="Times New Roman"/>
          <w:color w:val="000000"/>
          <w:sz w:val="16"/>
          <w:szCs w:val="16"/>
          <w:vertAlign w:val="superscript"/>
        </w:rPr>
        <w:t>-1</w:t>
      </w:r>
      <w:r w:rsidRPr="004A32A4">
        <w:rPr>
          <w:rFonts w:eastAsia="Times New Roman"/>
          <w:color w:val="000000"/>
          <w:sz w:val="16"/>
          <w:szCs w:val="16"/>
        </w:rPr>
        <w:t xml:space="preserve"> </w:t>
      </w:r>
      <w:r w:rsidRPr="004A32A4">
        <w:rPr>
          <w:rFonts w:eastAsia="Times New Roman"/>
          <w:color w:val="000000"/>
        </w:rPr>
        <w:t xml:space="preserve">Boden TG beobachtet werden. Im Jahr 2014 konnte ein rapider Anstieg der </w:t>
      </w:r>
      <w:r w:rsidRPr="004A32A4">
        <w:rPr>
          <w:rFonts w:eastAsia="Times New Roman"/>
          <w:i/>
          <w:iCs/>
          <w:color w:val="000000"/>
        </w:rPr>
        <w:t>Metarhizium</w:t>
      </w:r>
      <w:r w:rsidRPr="004A32A4">
        <w:rPr>
          <w:rFonts w:eastAsia="Times New Roman"/>
          <w:color w:val="000000"/>
        </w:rPr>
        <w:t>-Pilzdichte verzeichnet werden, insbesondere im September 2014. Ab April 2015 sank die Pilzdichte wiederum auf einen Durchschnittswert von 6.317 KBE g</w:t>
      </w:r>
      <w:r w:rsidRPr="004A32A4">
        <w:rPr>
          <w:rFonts w:eastAsia="Times New Roman"/>
          <w:color w:val="000000"/>
          <w:sz w:val="16"/>
          <w:szCs w:val="16"/>
          <w:vertAlign w:val="superscript"/>
        </w:rPr>
        <w:t>-1</w:t>
      </w:r>
      <w:r w:rsidRPr="004A32A4">
        <w:rPr>
          <w:rFonts w:eastAsia="Times New Roman"/>
          <w:color w:val="000000"/>
          <w:sz w:val="16"/>
          <w:szCs w:val="16"/>
        </w:rPr>
        <w:t xml:space="preserve"> </w:t>
      </w:r>
      <w:r w:rsidRPr="004A32A4">
        <w:rPr>
          <w:rFonts w:eastAsia="Times New Roman"/>
          <w:color w:val="000000"/>
        </w:rPr>
        <w:t xml:space="preserve">Boden TG. Der Anstieg und die Reduktion der Pilzdichte konnte mit dem Befallsdruck des Wirtsinsekts </w:t>
      </w:r>
      <w:r w:rsidRPr="004A32A4">
        <w:rPr>
          <w:rFonts w:eastAsia="Times New Roman"/>
          <w:i/>
          <w:iCs/>
          <w:color w:val="000000"/>
        </w:rPr>
        <w:t xml:space="preserve">Diabrotica v. virgifera </w:t>
      </w:r>
      <w:r w:rsidRPr="004A32A4">
        <w:rPr>
          <w:rFonts w:eastAsia="Times New Roman"/>
          <w:color w:val="000000"/>
        </w:rPr>
        <w:t xml:space="preserve">zusammenhängen. Auch abiotische Faktoren können dafür verantwortlich gemacht werden. Zudem war die </w:t>
      </w:r>
      <w:r w:rsidRPr="004A32A4">
        <w:rPr>
          <w:rFonts w:eastAsia="Times New Roman"/>
          <w:i/>
          <w:iCs/>
          <w:color w:val="000000"/>
        </w:rPr>
        <w:t xml:space="preserve">Metarhizium </w:t>
      </w:r>
      <w:r w:rsidRPr="004A32A4">
        <w:rPr>
          <w:rFonts w:eastAsia="Times New Roman"/>
          <w:color w:val="000000"/>
        </w:rPr>
        <w:t>spp.-Pilzdichte in den Parzellen mit nicht gebeiztem Saatgut stets höher. Daraus folgt, dass keine direkte Wirkung der Insektizidbeize Poncho™(Clothianidin, Bayer CropScience AG, Deutschland) auf die Pilzdichte nachgewiesen werden konnte.</w:t>
      </w:r>
    </w:p>
    <w:p w:rsidR="00723B9B" w:rsidRPr="007270EA" w:rsidRDefault="00723B9B" w:rsidP="00845587">
      <w:pPr>
        <w:pStyle w:val="12Unterkapitel"/>
        <w:rPr>
          <w:lang w:val="en-US"/>
        </w:rPr>
      </w:pPr>
      <w:r w:rsidRPr="001F3F8E">
        <w:rPr>
          <w:bCs/>
          <w:lang w:val="de-DE"/>
        </w:rPr>
        <w:br w:type="page"/>
      </w:r>
      <w:bookmarkStart w:id="407" w:name="_Toc7715663"/>
      <w:r w:rsidRPr="007270EA">
        <w:rPr>
          <w:lang w:val="en-US"/>
        </w:rPr>
        <w:t>Zottele, Maria (2017)</w:t>
      </w:r>
      <w:bookmarkEnd w:id="407"/>
    </w:p>
    <w:p w:rsidR="00BE0FF1" w:rsidRPr="00BE0FF1" w:rsidRDefault="00BE0FF1" w:rsidP="00723B9B">
      <w:pPr>
        <w:keepNext/>
        <w:spacing w:before="270"/>
        <w:rPr>
          <w:rFonts w:eastAsia="Times New Roman"/>
          <w:bCs/>
          <w:caps/>
          <w:color w:val="000000"/>
          <w:lang w:val="en-US"/>
        </w:rPr>
      </w:pPr>
      <w:r w:rsidRPr="00BE0FF1">
        <w:rPr>
          <w:rFonts w:eastAsia="Times New Roman"/>
          <w:bCs/>
          <w:caps/>
          <w:color w:val="000000"/>
          <w:lang w:val="en-US"/>
        </w:rPr>
        <w:t>Titel:</w:t>
      </w:r>
      <w:r w:rsidRPr="00BE0FF1">
        <w:rPr>
          <w:lang w:val="en-US"/>
        </w:rPr>
        <w:t xml:space="preserve"> </w:t>
      </w:r>
      <w:r w:rsidRPr="00BE0FF1">
        <w:rPr>
          <w:rFonts w:eastAsia="Times New Roman"/>
          <w:bCs/>
          <w:caps/>
          <w:color w:val="000000"/>
          <w:lang w:val="en-US"/>
        </w:rPr>
        <w:t>Assessment of Metarhizium brunneum BIPESCO 5: a sustainable and preventive biological control agent to control Diabrotica virgifera virgifera larvae</w:t>
      </w:r>
      <w:r>
        <w:rPr>
          <w:rFonts w:eastAsia="Times New Roman"/>
          <w:bCs/>
          <w:caps/>
          <w:color w:val="000000"/>
          <w:lang w:val="en-US"/>
        </w:rPr>
        <w:t>.</w:t>
      </w:r>
      <w:r w:rsidRPr="00BE0FF1">
        <w:rPr>
          <w:rFonts w:eastAsia="Times New Roman"/>
          <w:bCs/>
          <w:caps/>
          <w:color w:val="000000"/>
          <w:lang w:val="en-US"/>
        </w:rPr>
        <w:t xml:space="preserve"> </w:t>
      </w:r>
    </w:p>
    <w:p w:rsidR="00723B9B" w:rsidRPr="001F3F8E" w:rsidRDefault="00723B9B" w:rsidP="00723B9B">
      <w:pPr>
        <w:keepNext/>
        <w:spacing w:before="270"/>
        <w:rPr>
          <w:rFonts w:eastAsia="Times New Roman"/>
          <w:bCs/>
          <w:caps/>
          <w:color w:val="000000"/>
          <w:lang w:val="de-DE"/>
        </w:rPr>
      </w:pPr>
      <w:r w:rsidRPr="001F3F8E">
        <w:rPr>
          <w:rFonts w:eastAsia="Times New Roman"/>
          <w:bCs/>
          <w:caps/>
          <w:color w:val="000000"/>
          <w:lang w:val="de-DE"/>
        </w:rPr>
        <w:t>Zusammenfassung</w:t>
      </w:r>
    </w:p>
    <w:p w:rsidR="00723B9B" w:rsidRPr="004A32A4" w:rsidRDefault="00723B9B" w:rsidP="00723B9B">
      <w:pPr>
        <w:spacing w:before="270" w:line="270" w:lineRule="exact"/>
        <w:ind w:firstLine="709"/>
        <w:rPr>
          <w:rFonts w:eastAsia="Times New Roman"/>
          <w:color w:val="000000"/>
        </w:rPr>
      </w:pPr>
      <w:r w:rsidRPr="001F3F8E">
        <w:rPr>
          <w:rFonts w:eastAsia="Times New Roman"/>
          <w:color w:val="000000"/>
          <w:lang w:val="de-DE"/>
        </w:rPr>
        <w:t>Das biologische Schädlingsbekämpfungsmittel GranMet-GR</w:t>
      </w:r>
      <w:r w:rsidRPr="001F3F8E">
        <w:rPr>
          <w:rFonts w:eastAsia="Times New Roman"/>
          <w:color w:val="000000"/>
          <w:vertAlign w:val="superscript"/>
          <w:lang w:val="de-DE"/>
        </w:rPr>
        <w:t>TM</w:t>
      </w:r>
      <w:r w:rsidRPr="001F3F8E">
        <w:rPr>
          <w:rFonts w:eastAsia="Times New Roman"/>
          <w:color w:val="000000"/>
          <w:lang w:val="de-DE"/>
        </w:rPr>
        <w:t xml:space="preserve">, mit dem Pilz </w:t>
      </w:r>
      <w:r w:rsidRPr="001F3F8E">
        <w:rPr>
          <w:rFonts w:eastAsia="Times New Roman"/>
          <w:i/>
          <w:color w:val="000000"/>
          <w:lang w:val="de-DE"/>
        </w:rPr>
        <w:t>Metarhizium brunneum</w:t>
      </w:r>
      <w:r w:rsidRPr="001F3F8E">
        <w:rPr>
          <w:rFonts w:eastAsia="Times New Roman"/>
          <w:color w:val="000000"/>
          <w:lang w:val="de-DE"/>
        </w:rPr>
        <w:t xml:space="preserve"> BIPESCO 5, wird geg</w:t>
      </w:r>
      <w:r w:rsidRPr="004A32A4">
        <w:rPr>
          <w:rFonts w:eastAsia="Times New Roman"/>
          <w:color w:val="000000"/>
        </w:rPr>
        <w:t xml:space="preserve">en die Larven des Maisschädlings </w:t>
      </w:r>
      <w:r w:rsidRPr="004A32A4">
        <w:rPr>
          <w:rFonts w:eastAsia="Times New Roman"/>
          <w:i/>
          <w:color w:val="000000"/>
        </w:rPr>
        <w:t>Diabrotica virgifera virgifera</w:t>
      </w:r>
      <w:r w:rsidRPr="004A32A4">
        <w:rPr>
          <w:rFonts w:eastAsia="Times New Roman"/>
          <w:color w:val="000000"/>
        </w:rPr>
        <w:t xml:space="preserve"> eingesetzt. In dieser Arbeit wurde das Produkt für eine präventive Applikation in der Steiermark (Dietzen, Laafeld) und Tirol (Oberndorf, St. Johann in Tirol) verwendet, um die Population des Maiswurzelbohrers nachhaltig zu regulieren. Bis zum Ende der Pflanzensaison 2016 wurde die Dichte des Pilzes </w:t>
      </w:r>
      <w:r w:rsidRPr="004A32A4">
        <w:rPr>
          <w:rFonts w:eastAsia="Times New Roman"/>
          <w:i/>
          <w:color w:val="000000"/>
        </w:rPr>
        <w:t>Metarhizium</w:t>
      </w:r>
      <w:r w:rsidRPr="004A32A4">
        <w:rPr>
          <w:rFonts w:eastAsia="Times New Roman"/>
          <w:color w:val="000000"/>
        </w:rPr>
        <w:t xml:space="preserve"> spp. in drei der vier Behandlungsflächen durch die Applikation des Wirkstoffes angehoben (Feldgröße: 2 bis 12 ha). Mithilfe molekularbiologischer Methoden (SSR- PCR) wurde der applizierte Stamm BIPESCO 5 aus den 14 gefundenen Genotypen aller Bodenproben der Behandlungsflächen nachgewiesen. Die Genotypen wurden mithilfe der Sanger Sequenzierung als </w:t>
      </w:r>
      <w:r w:rsidRPr="004A32A4">
        <w:rPr>
          <w:rFonts w:eastAsia="Times New Roman"/>
          <w:i/>
          <w:color w:val="000000"/>
        </w:rPr>
        <w:t>M. brunneum</w:t>
      </w:r>
      <w:r w:rsidRPr="004A32A4">
        <w:rPr>
          <w:rFonts w:eastAsia="Times New Roman"/>
          <w:color w:val="000000"/>
        </w:rPr>
        <w:t xml:space="preserve">, </w:t>
      </w:r>
      <w:r w:rsidRPr="004A32A4">
        <w:rPr>
          <w:rFonts w:eastAsia="Times New Roman"/>
          <w:i/>
          <w:color w:val="000000"/>
        </w:rPr>
        <w:t>M. robertsii</w:t>
      </w:r>
      <w:r w:rsidRPr="004A32A4">
        <w:rPr>
          <w:rFonts w:eastAsia="Times New Roman"/>
          <w:color w:val="000000"/>
        </w:rPr>
        <w:t xml:space="preserve"> </w:t>
      </w:r>
      <w:r w:rsidRPr="004A32A4">
        <w:rPr>
          <w:rFonts w:eastAsia="Times New Roman"/>
          <w:i/>
          <w:color w:val="000000"/>
        </w:rPr>
        <w:t>und M. lepidiotae</w:t>
      </w:r>
      <w:r w:rsidRPr="004A32A4">
        <w:rPr>
          <w:rFonts w:eastAsia="Times New Roman"/>
          <w:color w:val="000000"/>
        </w:rPr>
        <w:t xml:space="preserve"> identifiziert.</w:t>
      </w:r>
    </w:p>
    <w:p w:rsidR="00723B9B" w:rsidRPr="004A32A4" w:rsidRDefault="00723B9B" w:rsidP="00723B9B">
      <w:pPr>
        <w:spacing w:before="270" w:line="276" w:lineRule="auto"/>
        <w:rPr>
          <w:rFonts w:eastAsia="Times New Roman"/>
          <w:color w:val="000000"/>
        </w:rPr>
      </w:pPr>
      <w:r w:rsidRPr="004A32A4">
        <w:rPr>
          <w:rFonts w:eastAsia="Times New Roman"/>
          <w:color w:val="000000"/>
        </w:rPr>
        <w:t>In der Steiermark wurden unter Einsatz eines neuen Schlupfkäfigsystems weniger adulte Maiswurzelbohrer gefangen als im vorhergehenden Jahr. Obwohl die Behandlungsfläche in Dietzen die höchste Käferdichte (ø 8,8 Käfer pro Pflanze) aufwies, wurden nur 10 % Lagerungsschäden erhoben. Im unbehandelten Kontrollfeld (ø 6,9 Käfer pro Pflanze) lagerten 80 % der Maispflanzen, dies ergab einen Ernteverlust um mehr als 30 % ( -4,2 t ha</w:t>
      </w:r>
      <w:r w:rsidRPr="004A32A4">
        <w:rPr>
          <w:rFonts w:eastAsia="Times New Roman"/>
          <w:color w:val="000000"/>
          <w:vertAlign w:val="superscript"/>
        </w:rPr>
        <w:t>-1</w:t>
      </w:r>
      <w:r w:rsidRPr="004A32A4">
        <w:rPr>
          <w:rFonts w:eastAsia="Times New Roman"/>
          <w:color w:val="000000"/>
        </w:rPr>
        <w:t>) erfolgte. Keine Schäden konnten in der Behandlungsfläche Laafeld festgestellt werden. An diesem Standort wurden 14,8 t ha</w:t>
      </w:r>
      <w:r w:rsidRPr="004A32A4">
        <w:rPr>
          <w:rFonts w:eastAsia="Times New Roman"/>
          <w:color w:val="000000"/>
          <w:vertAlign w:val="superscript"/>
        </w:rPr>
        <w:t>-1</w:t>
      </w:r>
      <w:r w:rsidRPr="004A32A4">
        <w:rPr>
          <w:rFonts w:eastAsia="Times New Roman"/>
          <w:color w:val="000000"/>
        </w:rPr>
        <w:t xml:space="preserve"> Maiskörnern geerntet. In Tirol konnten keine schlüpfenden Käfer gefangen werden, allerdings wurde zum ersten Mal eine hohe Anzahl an Maiswurzelbohrer-Käfer mit Klebefallen ermittelt (x̅= 259,83 Käfer pro Falle; n=6).</w:t>
      </w:r>
    </w:p>
    <w:p w:rsidR="00723B9B" w:rsidRDefault="00723B9B" w:rsidP="00723B9B">
      <w:pPr>
        <w:spacing w:before="270" w:line="276" w:lineRule="auto"/>
        <w:rPr>
          <w:rFonts w:eastAsia="Times New Roman"/>
          <w:color w:val="000000"/>
        </w:rPr>
      </w:pPr>
      <w:r w:rsidRPr="004A32A4">
        <w:rPr>
          <w:rFonts w:eastAsia="Times New Roman"/>
          <w:color w:val="000000"/>
        </w:rPr>
        <w:t xml:space="preserve">Mithilfe von Qualitätssicherungstests wurde die hohe Qualität des Produkts bestätigt: Es konnten keine Bakterien- und Pilz-Kontaminationen festgestellt werden. Auch wurde im Bioassay unter Verwendung von </w:t>
      </w:r>
      <w:r w:rsidRPr="004A32A4">
        <w:rPr>
          <w:rFonts w:eastAsia="Times New Roman"/>
          <w:i/>
          <w:color w:val="000000"/>
        </w:rPr>
        <w:t>Galleria mellonella</w:t>
      </w:r>
      <w:r w:rsidRPr="004A32A4">
        <w:rPr>
          <w:rFonts w:eastAsia="Times New Roman"/>
          <w:color w:val="000000"/>
        </w:rPr>
        <w:t xml:space="preserve"> und </w:t>
      </w:r>
      <w:r w:rsidRPr="004A32A4">
        <w:rPr>
          <w:rFonts w:eastAsia="Times New Roman"/>
          <w:i/>
          <w:color w:val="000000"/>
        </w:rPr>
        <w:t>Tenebrio mellonella</w:t>
      </w:r>
      <w:r w:rsidRPr="004A32A4">
        <w:rPr>
          <w:rFonts w:eastAsia="Times New Roman"/>
          <w:color w:val="000000"/>
        </w:rPr>
        <w:t xml:space="preserve"> die hohe Virulenz nachgewiesen. Der Stamm BIPESCO 5 konnte mittels der Triazole Voriconazol, und Posaconazol, sowie durch zwei Echinocandine wirksam gehemmt werden.</w:t>
      </w:r>
    </w:p>
    <w:p w:rsidR="007270EA" w:rsidRDefault="004F6DE7" w:rsidP="00845587">
      <w:pPr>
        <w:pStyle w:val="12Unterkapitel"/>
      </w:pPr>
      <w:r>
        <w:br w:type="page"/>
      </w:r>
      <w:bookmarkStart w:id="408" w:name="_Toc7715664"/>
      <w:r w:rsidR="00F44394">
        <w:t>G</w:t>
      </w:r>
      <w:r w:rsidR="00F44394">
        <w:rPr>
          <w:lang w:val="de-DE"/>
        </w:rPr>
        <w:t>ruber, Alexandra (2019)</w:t>
      </w:r>
      <w:bookmarkEnd w:id="408"/>
      <w:r w:rsidR="00F44394">
        <w:rPr>
          <w:lang w:val="de-DE"/>
        </w:rPr>
        <w:t xml:space="preserve"> </w:t>
      </w:r>
    </w:p>
    <w:p w:rsidR="00BE0FF1" w:rsidRPr="00BE0FF1" w:rsidRDefault="00BE0FF1" w:rsidP="00BE0FF1">
      <w:pPr>
        <w:keepNext/>
        <w:spacing w:before="270"/>
        <w:rPr>
          <w:rFonts w:eastAsia="Times New Roman"/>
          <w:bCs/>
          <w:caps/>
          <w:color w:val="000000"/>
        </w:rPr>
      </w:pPr>
      <w:r>
        <w:rPr>
          <w:rFonts w:eastAsia="Times New Roman"/>
          <w:bCs/>
          <w:caps/>
          <w:color w:val="000000"/>
        </w:rPr>
        <w:t xml:space="preserve">Titel: </w:t>
      </w:r>
      <w:r w:rsidRPr="00BE0FF1">
        <w:rPr>
          <w:rFonts w:eastAsia="Times New Roman"/>
          <w:bCs/>
          <w:caps/>
          <w:color w:val="000000"/>
        </w:rPr>
        <w:t>Überprüfung alternativer biologischer Wirkstoffe zum Schutz des Maises vor dem Maiswurzelbohrer im Feldversuch</w:t>
      </w:r>
    </w:p>
    <w:p w:rsidR="004F6DE7" w:rsidRPr="00000AAE" w:rsidRDefault="00000AAE" w:rsidP="00000AAE">
      <w:pPr>
        <w:keepNext/>
        <w:spacing w:before="270"/>
        <w:rPr>
          <w:rFonts w:eastAsia="Times New Roman"/>
          <w:bCs/>
          <w:caps/>
          <w:color w:val="000000"/>
        </w:rPr>
      </w:pPr>
      <w:r>
        <w:rPr>
          <w:rFonts w:eastAsia="Times New Roman"/>
          <w:bCs/>
          <w:caps/>
          <w:color w:val="000000"/>
        </w:rPr>
        <w:t>Zusammenfassung</w:t>
      </w:r>
    </w:p>
    <w:p w:rsidR="00723B9B" w:rsidRDefault="004F6DE7" w:rsidP="003B18F3">
      <w:pPr>
        <w:spacing w:before="270" w:line="276" w:lineRule="auto"/>
        <w:ind w:firstLine="680"/>
        <w:jc w:val="both"/>
        <w:rPr>
          <w:rFonts w:eastAsia="Times New Roman"/>
          <w:color w:val="000000"/>
        </w:rPr>
      </w:pPr>
      <w:r w:rsidRPr="004F6DE7">
        <w:rPr>
          <w:rFonts w:eastAsia="Times New Roman"/>
          <w:color w:val="000000"/>
        </w:rPr>
        <w:t>Ziel dieser Masterarbeit war, die präventive Anwendung eines kommerzialisierten Pilzwirkstoffes (Produkt auf Basis von Metarhizium brunneum) auf die Mortalität von Diabrotica virgifera virgifera larvae (Westlicher Maiswurzelbohrer) für eine nachhaltige Populationskontrolle in Maisfeldern in der Steiermark zu untersuchen. Die Feldstudien wurden in Zusammenarbeit mit DIACONT Partnern in der Pflanzsaison 2018 durchgeführt, um die Auswirkung auf die (i) Metarhizium-Abundanz nach einer gezielten innundativen Massenapplikation der biologischen Wirkstoffe in drei Versuchsstandorten in der Steiermark – Probennahmen im April und September 2018 - zu untersuchen; (ii) die Wirksamkeit der biologischen Wirkstoffe wurde auf Basis eines Käfermonitorings bzw. Pflanzenbonitur ausgewertet; (iii) Qualitätskontroll-Experimente vervollständigten die Arbeit, indem DNA-basierte Methoden zur Identifizierung der Metarhizium-Isolate aus den Feldversuchen verwendet wurden. Trotz hoher Käferbefallszahlen (ø 7 Käfer pro Pflanze) auf den drei Versuchsstandorten wurden keine Wurzelschäden und nur vernachlässigbare Gänsehalssymptome festgestellt. Zudem konnte kein Ernteverlust nachgewiesen werden. Weder die hohe Käferabundanz, die Wirkstoffauswahl, noch Versuchs-Standort hatten einen Einfluss auf den Ernteertrag.  Die Genotypisierungs-Analysen bestätigten, dass sich der Produktionsstamm BIPESCO 5 in den Behandlungsflächen nebst den indigenen Metarhizium Genotypen etablieren konnte. Die multivariate CANOCO-Analysemethode zeigte, dass die Metarhizium-Dichte im Boden mit einer einzigen GranMet-Anwendung signifikant erhöht werden konnte. Die Metarhizium-BIPESCO 5-Abundanz im Boden sollte in Zukunft als indirektes Maß für die Beurteilung der Wirksamkeit des biologischen Wirkstoffs bewertet werden. Je höher der Metarhizium-Überschuss im Boden ist, desto besser ist der Pflanzenertrag und die Kontr</w:t>
      </w:r>
      <w:r>
        <w:rPr>
          <w:rFonts w:eastAsia="Times New Roman"/>
          <w:color w:val="000000"/>
        </w:rPr>
        <w:t>olle des Schädlings Diabrotica.</w:t>
      </w:r>
    </w:p>
    <w:p w:rsidR="00203E59" w:rsidRDefault="00203E59">
      <w:pPr>
        <w:rPr>
          <w:rFonts w:eastAsia="Times New Roman"/>
          <w:color w:val="000000"/>
        </w:rPr>
      </w:pPr>
      <w:r>
        <w:rPr>
          <w:rFonts w:eastAsia="Times New Roman"/>
          <w:color w:val="000000"/>
        </w:rPr>
        <w:br w:type="page"/>
      </w:r>
    </w:p>
    <w:p w:rsidR="00203E59" w:rsidRPr="00000AAE" w:rsidRDefault="00203E59" w:rsidP="00845587">
      <w:pPr>
        <w:pStyle w:val="11Unterkapitel"/>
      </w:pPr>
      <w:bookmarkStart w:id="409" w:name="_Toc7715665"/>
      <w:r w:rsidRPr="000B64A7">
        <w:t xml:space="preserve">Liste der an der TU Graz im Rahmen des </w:t>
      </w:r>
      <w:r w:rsidR="00000AAE">
        <w:t>projektes diacont durchgeführten</w:t>
      </w:r>
      <w:r w:rsidRPr="000B64A7">
        <w:t xml:space="preserve"> Masterarbeiten</w:t>
      </w:r>
      <w:bookmarkEnd w:id="409"/>
    </w:p>
    <w:p w:rsidR="00203E59" w:rsidRPr="00DF038A" w:rsidRDefault="00203E59" w:rsidP="00845587">
      <w:pPr>
        <w:pStyle w:val="12Unterkapitel"/>
      </w:pPr>
      <w:bookmarkStart w:id="410" w:name="_Toc7715666"/>
      <w:r w:rsidRPr="00DF038A">
        <w:t>Laireiter, Christina (2016)</w:t>
      </w:r>
      <w:bookmarkEnd w:id="410"/>
      <w:r w:rsidRPr="00DF038A">
        <w:t xml:space="preserve"> </w:t>
      </w:r>
    </w:p>
    <w:p w:rsidR="00BE0FF1" w:rsidRDefault="00BE0FF1" w:rsidP="00203E59">
      <w:pPr>
        <w:keepNext/>
        <w:spacing w:before="270"/>
        <w:rPr>
          <w:rFonts w:eastAsia="Times New Roman"/>
          <w:bCs/>
          <w:caps/>
          <w:color w:val="000000"/>
        </w:rPr>
      </w:pPr>
      <w:r>
        <w:rPr>
          <w:rFonts w:eastAsia="Times New Roman"/>
          <w:bCs/>
          <w:caps/>
          <w:color w:val="000000"/>
        </w:rPr>
        <w:t xml:space="preserve">TITEL: </w:t>
      </w:r>
      <w:r w:rsidRPr="00BE0FF1">
        <w:rPr>
          <w:rFonts w:eastAsia="Times New Roman"/>
          <w:bCs/>
          <w:caps/>
          <w:color w:val="000000"/>
        </w:rPr>
        <w:t xml:space="preserve">Evaluierung von stress protecting agents (SPAs) für Pflanzen </w:t>
      </w:r>
    </w:p>
    <w:p w:rsidR="00203E59" w:rsidRPr="00000AAE" w:rsidRDefault="00000AAE" w:rsidP="00203E59">
      <w:pPr>
        <w:keepNext/>
        <w:spacing w:before="270"/>
        <w:rPr>
          <w:rFonts w:eastAsia="Times New Roman"/>
          <w:bCs/>
          <w:caps/>
          <w:color w:val="000000"/>
        </w:rPr>
      </w:pPr>
      <w:r w:rsidRPr="00000AAE">
        <w:rPr>
          <w:rFonts w:eastAsia="Times New Roman"/>
          <w:bCs/>
          <w:caps/>
          <w:color w:val="000000"/>
        </w:rPr>
        <w:t>Zusammenfassung</w:t>
      </w:r>
    </w:p>
    <w:p w:rsidR="00203E59" w:rsidRDefault="00203E59" w:rsidP="00203E59"/>
    <w:p w:rsidR="00203E59" w:rsidRDefault="00203E59" w:rsidP="003B18F3">
      <w:pPr>
        <w:ind w:firstLine="709"/>
        <w:jc w:val="both"/>
      </w:pPr>
      <w:r>
        <w:t>Durch den Klimawandel ist die Landwirtschaft zunehmend mit Problemen wie Hitze und Trockenheit konfrontiert. Dies ist häufig mit Ertragsverlusten verbunden. In einigen Studien konnten Bakterien vermittelte, wachstumsfördernde und vor Stress schützende Effekte an Pflanzen gezeigt werden. Das Ziel dieser Studie war es daher, bakterielle Konsortien für eine Saatgut-Behandlung mit vor Stress schützender Aktivität für Mais, Sorghum und Raps zu entwickeln. Dabei sollte der Fokus auf Nachhaltigkeit und eine Förderung der Diversität an der Wirtspflanze gelegt werden.</w:t>
      </w:r>
    </w:p>
    <w:p w:rsidR="00203E59" w:rsidRDefault="00203E59" w:rsidP="00000AAE">
      <w:pPr>
        <w:jc w:val="both"/>
      </w:pPr>
      <w:r>
        <w:t>Für die Erstellung eines Konsortiums wurden vorausgewählte Bakterien auf positive Eigenschaften wie Austrocknungsresistenz, Interaktion mit anderen Bakterien, Quorum sensing und antagonistische Effekte durch flüchtige organische Substanzen, getestet. Weiters wurde der Einfluss auf Keimung, Pflanzenwachstum und auf ihre Fähigkeit, Pflanzen vor Stress zu schützen, in Gewächshausversuchen überprüft. Die Kolonisierung der Samen und Wurzeln wurde mittels kultivierungsabhängigen Verfahren nachgewiesen. Für Raps wurde die Besiedelung der Wurzeln zudem unter der Verwendung spezifischer Sonden mittels Fluoreszenz in situ Hybridisierung und konfokaler Laser-Rastermikroskopie überprüft. Des Weiteren wurde der Einfluss des vor Stress schützenden Umweltstammes Stenotrophomonas rhizophila auf die Zusammensetzung der Bakterien- und Pilzpopulation in Maisrhizosphären an zwei Standorten mittels Amplikonsequenzierung evaluiert.</w:t>
      </w:r>
    </w:p>
    <w:p w:rsidR="00203E59" w:rsidRDefault="00203E59" w:rsidP="00000AAE">
      <w:pPr>
        <w:jc w:val="both"/>
      </w:pPr>
      <w:r>
        <w:t>Bei der Charakterisierung der Bakterienstämme wurden potentiell hilfreiche Eigenschaften, für eine nützliche Konsortium-Pflanzen-Interaktion detektiert. Darunter fanden sich beispielsweise die Fähigkeit zu schwimmen, schwärmen, andere Bakterien zu inhibieren oder Acyl-Homoserin-Lactone für Quorum sensing zu produzieren. Alle Stämme wiesen ein hohes antagonistisches Potential durch flüchtige organische Substanzen gegen mindestens zwei von vier pilzlichen Pflanzenpathogenen auf. Durch die Konsortium-Behandlung konnte die Biomasseproduktion und die Blattanzahl von Raps in Keimfiltern signifikant erhöht werden. Bei der Kultivierung von Mais in Keimtaschen zeigte sich ein signifikant gesteigertes Frischgewicht der Wurzeln und oberirdischen Pflanzenteile der mit Konsortium behandelten Pflanzen. Konsortium behandelter Sorghum wies ein signifikant höheres Trockengewicht nach Kultivierung in Keimfiltern auf. Des Weiteren wurden unter extremen Trockenstress eine erhöhte Biomasseproduktion und dickere Stämme bei Konsortium-behandeltem Sorghum nachgewiesen.</w:t>
      </w:r>
    </w:p>
    <w:p w:rsidR="00203E59" w:rsidRDefault="00203E59" w:rsidP="00000AAE">
      <w:pPr>
        <w:jc w:val="both"/>
      </w:pPr>
      <w:r>
        <w:t>Bei den Feldversuchen wurden Unterschiede der Bakterien- und Pilzpopulationen zwischen den beiden Orten durch bioinformatische Analysen der Amplikons vorgefunden. Die Analyse zeigte zudem, dass Stenotrophomonas rhizophila keinen Einfluss auf die α Diversität der mikrobiellen Gemeinschaften hatte. Diese Studie zeigt erste positive Effekte von Konsortien auf verschiedene Wirtspflanzen und legt somit einen Grundstein für weitere Optimierungen und Feldversuche.</w:t>
      </w:r>
    </w:p>
    <w:p w:rsidR="00203E59" w:rsidRDefault="00203E59">
      <w:r>
        <w:br w:type="page"/>
      </w:r>
    </w:p>
    <w:p w:rsidR="00203E59" w:rsidRPr="00BE0FF1" w:rsidRDefault="00203E59" w:rsidP="00203E59">
      <w:pPr>
        <w:pStyle w:val="12Unterkapitel"/>
      </w:pPr>
      <w:bookmarkStart w:id="411" w:name="_Toc7715667"/>
      <w:r>
        <w:t>Murgu</w:t>
      </w:r>
      <w:r w:rsidR="003B18F3">
        <w:t xml:space="preserve">, </w:t>
      </w:r>
      <w:r w:rsidR="003B18F3" w:rsidRPr="000B64A7">
        <w:t>Octavian</w:t>
      </w:r>
      <w:r>
        <w:t xml:space="preserve"> </w:t>
      </w:r>
      <w:r w:rsidR="003B18F3">
        <w:t>(2</w:t>
      </w:r>
      <w:r>
        <w:t>017</w:t>
      </w:r>
      <w:r w:rsidR="003B18F3">
        <w:t>)</w:t>
      </w:r>
      <w:bookmarkEnd w:id="411"/>
      <w:r w:rsidRPr="000B64A7">
        <w:t xml:space="preserve"> </w:t>
      </w:r>
    </w:p>
    <w:p w:rsidR="00BE0FF1" w:rsidRDefault="00BE0FF1" w:rsidP="00000AAE">
      <w:pPr>
        <w:keepNext/>
        <w:spacing w:before="270"/>
        <w:rPr>
          <w:rFonts w:eastAsia="Times New Roman"/>
          <w:bCs/>
          <w:caps/>
          <w:color w:val="000000"/>
        </w:rPr>
      </w:pPr>
      <w:r>
        <w:rPr>
          <w:rFonts w:eastAsia="Times New Roman"/>
          <w:bCs/>
          <w:caps/>
          <w:color w:val="000000"/>
        </w:rPr>
        <w:t>Titel:</w:t>
      </w:r>
      <w:r w:rsidRPr="00BE0FF1">
        <w:t xml:space="preserve"> </w:t>
      </w:r>
      <w:r w:rsidRPr="00BE0FF1">
        <w:rPr>
          <w:rFonts w:eastAsia="Times New Roman"/>
          <w:bCs/>
          <w:caps/>
          <w:color w:val="000000"/>
        </w:rPr>
        <w:t>Interaktionen von wachstumsfördernden Rhizosphärenbakterien mit Pilzen und ihren Wirtspflanzen</w:t>
      </w:r>
    </w:p>
    <w:p w:rsidR="00000AAE" w:rsidRPr="00000AAE" w:rsidRDefault="00000AAE" w:rsidP="00000AAE">
      <w:pPr>
        <w:keepNext/>
        <w:spacing w:before="270"/>
        <w:rPr>
          <w:rFonts w:eastAsia="Times New Roman"/>
          <w:bCs/>
          <w:caps/>
          <w:color w:val="000000"/>
        </w:rPr>
      </w:pPr>
      <w:r w:rsidRPr="00000AAE">
        <w:rPr>
          <w:rFonts w:eastAsia="Times New Roman"/>
          <w:bCs/>
          <w:caps/>
          <w:color w:val="000000"/>
        </w:rPr>
        <w:t>Zusammenfassung</w:t>
      </w:r>
    </w:p>
    <w:p w:rsidR="00000AAE" w:rsidRPr="000B64A7" w:rsidRDefault="00000AAE" w:rsidP="00203E59">
      <w:pPr>
        <w:rPr>
          <w:b/>
        </w:rPr>
      </w:pPr>
    </w:p>
    <w:p w:rsidR="00203E59" w:rsidRDefault="00203E59" w:rsidP="003B18F3">
      <w:pPr>
        <w:ind w:firstLine="680"/>
        <w:jc w:val="both"/>
      </w:pPr>
      <w:r>
        <w:t>Im Rahmen der Masterarbeit wurden die Interaktionen verschiedener bakterieller Biokontrollstämme (BCAs) untereinander sowie mit Pflanzen und Pilzen untersucht. Bei den BCAs handelte es sich um die fünf gram negativen Bakterien Stenotrophomonas rhizophila ep-17 und P69, Serratia plymuthica 3Re4-18, Rp5 und Rp8 sowie um das gram positive Bakterium Bacillus subtilis B2g. Die Interaktionen wurden unter Verwendung von molekularbiologischen, mikrobiologischen und mikroskopischen Methoden analysiert. Um die Stämme zeitgleich mittels eines konfokalen Laser-Scanning-Mikroskops (CLSM) an der Pflanze visualisieren zu können, war es wichtig, sie mit unterschiedlichen fluoreszierenden Genen im gleichen Vektorkonstrukt zu transformieren. Als Ausgangsvektoren für die Klonierungsarbeiten wurden die Plasmide pJH, pBAH8 und pIN 29 herangezogen. Bedingt durch die fixen Laserquellen des CLSM konnten vier verschiedene Fluoreszenzfarbstoffe selektiert werden. Die Nutzung von DsRed2, GFP, mNeptune und eBFP2 ermöglichte eine gleichzeitige Visualisierung von allen vier BCAs. Während die Klonierungsarbeiten mit den Vektoren pJH und pBAH8 nicht zielführend waren, konnte das DsRed2-Gen des pIN 29 Vektors erfolgreich mit den Restriktionsenzymen für Xbal und BglII herausgeschnitten und durch die Gene der alternativen fluoreszierenden Proteine ersetzt werden. Die Transformation von allen BCAs mit Ausnahme von B2g erfolgte mit Hilfe des modifizierten pIN 29-Plasmids. pIN 29 zeigte eine stabile Expression des fluoreszierenden Farbstoffes ohne dabei die Vitalität der Zellen zu beeinflussen. Kolonisierungsmuster konnten auch an 14 Tage alten Mais- oder Tomatenwurzeln noch dargestellt werden. Mit der CLSM-Analyse von Transformanten des Isolats S. rhizophila ep-17, die jeweils mit einem der vier modifizierten Vektoren ausgestattet wurden, konnte die gleichzeitige Darstellung aller vier Fluoreszenzfarbstoffe in einem Ansatz gezeigt werden. Die Analyse der Interaktionen zwischen den einzelnen BCAs zeigte, dass vor allem die gram negativen Bakterien ep-17, Rp8 und 3Re4-18 für eine kombinierte Anwendung in Frage kommen könnten, da diese keine inhibierenden Effekte untereinander aufwiesen. Die Interaktionen zwischen den pIN 29-DsRed2 Stenotrophomonas Stämmen ep-17 und pBAH8-markierten P69 an der Pflanzenwurzel, wurden anhand von Mais und Tomaten getestet. Bei der Suche nach einen potentiellen Transporter für die BCAs wurden sowohl Pilze aus einer Stammsammlung als auch aus landwirtschaftlich genutztem Boden für den Maisanbau isoliert und getestet. Von allen sechs Stämmen konnten lediglich Zellen von Bacillus subtilis B2g durch die aus der Stammsammlung stammenden Pilze BR4-1-11, BR1-1-5 und BE1-1-3 transportiert werden. Die Identität von B2g wurde in einem BOX PCR Ansatz geprüft. Des Weiteren konnte durch ein Live/Dead Färbenachweis die Vitalität der Bacillus Zellen bestätigt werden.</w:t>
      </w:r>
    </w:p>
    <w:p w:rsidR="00203E59" w:rsidRDefault="00203E59">
      <w:r>
        <w:br w:type="page"/>
      </w:r>
    </w:p>
    <w:p w:rsidR="00BE0FF1" w:rsidRDefault="00203E59" w:rsidP="00845587">
      <w:pPr>
        <w:pStyle w:val="12Unterkapitel"/>
      </w:pPr>
      <w:bookmarkStart w:id="412" w:name="_Toc7715668"/>
      <w:r w:rsidRPr="000B64A7">
        <w:t>Ellmaier</w:t>
      </w:r>
      <w:r w:rsidR="003B18F3">
        <w:t xml:space="preserve">, </w:t>
      </w:r>
      <w:r w:rsidR="003B18F3" w:rsidRPr="000B64A7">
        <w:t>Katrin</w:t>
      </w:r>
      <w:r w:rsidRPr="000B64A7">
        <w:t xml:space="preserve"> </w:t>
      </w:r>
      <w:r w:rsidR="003B18F3">
        <w:t>(2018)</w:t>
      </w:r>
      <w:bookmarkEnd w:id="412"/>
      <w:r w:rsidRPr="000B64A7">
        <w:t xml:space="preserve"> </w:t>
      </w:r>
    </w:p>
    <w:p w:rsidR="00BE0FF1" w:rsidRDefault="00BE0FF1" w:rsidP="003B18F3">
      <w:pPr>
        <w:keepNext/>
        <w:spacing w:before="270"/>
        <w:rPr>
          <w:rFonts w:eastAsia="Times New Roman"/>
          <w:bCs/>
          <w:caps/>
          <w:color w:val="000000"/>
        </w:rPr>
      </w:pPr>
      <w:r>
        <w:rPr>
          <w:rFonts w:eastAsia="Times New Roman"/>
          <w:bCs/>
          <w:caps/>
          <w:color w:val="000000"/>
        </w:rPr>
        <w:t xml:space="preserve">Titel: </w:t>
      </w:r>
      <w:r w:rsidRPr="00BE0FF1">
        <w:rPr>
          <w:rFonts w:eastAsia="Times New Roman"/>
          <w:bCs/>
          <w:caps/>
          <w:color w:val="000000"/>
        </w:rPr>
        <w:t>EFFEKTE VON STENOTROPHOMONAS RHIZOPHILA AUF VON DIABROTICA VIRGIFERA BEFALLENEN ZEA MAYS</w:t>
      </w:r>
    </w:p>
    <w:p w:rsidR="003B18F3" w:rsidRPr="00000AAE" w:rsidRDefault="003B18F3" w:rsidP="003B18F3">
      <w:pPr>
        <w:keepNext/>
        <w:spacing w:before="270"/>
        <w:rPr>
          <w:rFonts w:eastAsia="Times New Roman"/>
          <w:bCs/>
          <w:caps/>
          <w:color w:val="000000"/>
        </w:rPr>
      </w:pPr>
      <w:r w:rsidRPr="00000AAE">
        <w:rPr>
          <w:rFonts w:eastAsia="Times New Roman"/>
          <w:bCs/>
          <w:caps/>
          <w:color w:val="000000"/>
        </w:rPr>
        <w:t>Zusammenfassung</w:t>
      </w:r>
    </w:p>
    <w:p w:rsidR="00203E59" w:rsidRDefault="00203E59" w:rsidP="00203E59"/>
    <w:p w:rsidR="00203E59" w:rsidRDefault="00203E59" w:rsidP="003B18F3">
      <w:pPr>
        <w:ind w:firstLine="680"/>
        <w:jc w:val="both"/>
      </w:pPr>
      <w:r>
        <w:t>Der westliche Maiswurzelbohrer (Diabrotica virgifera), aus der Chrysomelidae Familie, ein Neozoon in Europa, ist in den letzten Jahren zu einem verheerenden Pflanzenschädling am Mais (Zea mays) geworden. Schädigungen durch bodenbürtige Larven, die sich von Maiswurzeln ernähren, führen zu mangelnder Fitness der Wirtspflanze. Biologische Schädlingsbekämpfung stellt eine nachhaltige und spezifische Kontrolle bei Anwendung als Kombinationspräparat bestehend aus verschiedenen Organismen wie entomopathogenen Nematoden, insektenpathogenen Pilzen und nützlichen Bakterien, dar. In dieser Masterarbeit wurde die Fähigkeit von Stenotrophomonas rhizophila untersucht, das Wurzelwachstum zu stimulieren, welches Schäden, die durch Larven verursacht wurden, kompensiert und dadurch den Ertrag in Feldversuchen erhöht. Keimungsrate, Lodging und Ertrag wurden in Feldversuchen an drei Standorten in Österreich ermittelt. Die Infektion mit Larven auf den Feldstandorten wurde mit Emergenz Fallen überwacht. Die Fähigkeit und das Ausmaß der Kolonisierung von Wurzeln wurden in vitro spezies-spezifischen molekularen Sonden untersucht. Ad planta wurden die Anwendungstechniken Priming und Verkapselung mit GFP und DsRed-markierten Bakterien verglichen. Die Kolonisierung wurde mittels konfokaler Laser-Scanning-Mikroskopie nachgewiesen. Es wurde festgestellt, dass die Larvendichte gleichmäßig über das Feld verteilt ist. Die Keimungsrate wurde durch die bakterielle Behandlung nicht beeinträchtigt. Lodging wurde durch S. rhizophila reduziert, während der Ertrag im Vergleich zu den entsprechenden Kontrollen gesteigert werden konnte. Mit spezifisch entwickelten Primer und Sonde konnte das Bakterium erfolgreich quantifiziert werden. Hinsichtlich der verschiedenen Anwendungstechniken konnte keine unterschiedliche Kolonisierung festgestellt werden. S. rhizophila hat sich als ein potenter Kandidat erwiesen, um eine nützliche Komponente in einer Biokontrollanwendung zu werden, mit möglichen Vorteilen für Wirtschaft und Umwelt.</w:t>
      </w:r>
    </w:p>
    <w:p w:rsidR="004F6DE7" w:rsidRPr="004A32A4" w:rsidRDefault="004F6DE7" w:rsidP="00723B9B">
      <w:pPr>
        <w:spacing w:before="270" w:line="276" w:lineRule="auto"/>
        <w:rPr>
          <w:rFonts w:eastAsia="Times New Roman"/>
          <w:color w:val="000000"/>
        </w:rPr>
      </w:pPr>
    </w:p>
    <w:p w:rsidR="00723B9B" w:rsidRPr="004A32A4" w:rsidRDefault="00723B9B" w:rsidP="00723B9B">
      <w:pPr>
        <w:spacing w:before="270" w:line="276" w:lineRule="auto"/>
        <w:rPr>
          <w:rFonts w:eastAsia="Times New Roman"/>
          <w:color w:val="000000"/>
        </w:rPr>
        <w:sectPr w:rsidR="00723B9B" w:rsidRPr="004A32A4" w:rsidSect="00723B9B">
          <w:headerReference w:type="default" r:id="rId147"/>
          <w:pgSz w:w="11906" w:h="16838"/>
          <w:pgMar w:top="1418" w:right="1418" w:bottom="1134" w:left="1134" w:header="709" w:footer="709" w:gutter="0"/>
          <w:cols w:space="708"/>
          <w:docGrid w:linePitch="360"/>
        </w:sectPr>
      </w:pPr>
    </w:p>
    <w:p w:rsidR="00723B9B" w:rsidRPr="004A32A4" w:rsidRDefault="00723B9B" w:rsidP="000E7FDF">
      <w:pPr>
        <w:pStyle w:val="1Unterkapitel"/>
      </w:pPr>
      <w:bookmarkStart w:id="413" w:name="_Toc532311647"/>
      <w:bookmarkStart w:id="414" w:name="_Toc7715669"/>
      <w:r w:rsidRPr="004A32A4">
        <w:t xml:space="preserve">Ziel – Ergebnisvergleich UIBK Modul 2 (Wirkstoff </w:t>
      </w:r>
      <w:r w:rsidRPr="004A32A4">
        <w:rPr>
          <w:i/>
        </w:rPr>
        <w:t>Metarhizium</w:t>
      </w:r>
      <w:r w:rsidRPr="004A32A4">
        <w:t>)</w:t>
      </w:r>
      <w:bookmarkEnd w:id="413"/>
      <w:bookmarkEnd w:id="414"/>
    </w:p>
    <w:p w:rsidR="00723B9B" w:rsidRDefault="00723B9B" w:rsidP="00723B9B">
      <w:pPr>
        <w:pStyle w:val="Tabellentitel"/>
      </w:pPr>
      <w:bookmarkStart w:id="415" w:name="_Toc532311571"/>
      <w:bookmarkStart w:id="416" w:name="_Toc7715391"/>
      <w:r>
        <w:t xml:space="preserve">Tabelle </w:t>
      </w:r>
      <w:fldSimple w:instr=" SEQ Tabelle \* ARABIC ">
        <w:r w:rsidR="000E7FDF">
          <w:rPr>
            <w:noProof/>
          </w:rPr>
          <w:t>10</w:t>
        </w:r>
      </w:fldSimple>
      <w:r>
        <w:t xml:space="preserve">: </w:t>
      </w:r>
      <w:r w:rsidRPr="004A32A4">
        <w:t>Gegenüberstellung der Modul Erfordernisse / Ergebnisse des Forschungsprojektes (Partner 4, UIBK)</w:t>
      </w:r>
      <w:bookmarkEnd w:id="415"/>
      <w:bookmarkEnd w:id="416"/>
    </w:p>
    <w:tbl>
      <w:tblPr>
        <w:tblW w:w="0" w:type="auto"/>
        <w:jc w:val="right"/>
        <w:tblBorders>
          <w:insideH w:val="single" w:sz="2" w:space="0" w:color="auto"/>
          <w:insideV w:val="single" w:sz="2" w:space="0" w:color="auto"/>
        </w:tblBorders>
        <w:tblLayout w:type="fixed"/>
        <w:tblLook w:val="04A0" w:firstRow="1" w:lastRow="0" w:firstColumn="1" w:lastColumn="0" w:noHBand="0" w:noVBand="1"/>
      </w:tblPr>
      <w:tblGrid>
        <w:gridCol w:w="2655"/>
        <w:gridCol w:w="3620"/>
        <w:gridCol w:w="3405"/>
        <w:gridCol w:w="3405"/>
      </w:tblGrid>
      <w:tr w:rsidR="00723B9B" w:rsidRPr="004A32A4" w:rsidTr="00723B9B">
        <w:trPr>
          <w:trHeight w:val="271"/>
          <w:jc w:val="right"/>
        </w:trPr>
        <w:tc>
          <w:tcPr>
            <w:tcW w:w="2655" w:type="dxa"/>
            <w:vMerge w:val="restart"/>
            <w:tcBorders>
              <w:right w:val="nil"/>
            </w:tcBorders>
            <w:shd w:val="clear" w:color="auto" w:fill="auto"/>
            <w:vAlign w:val="center"/>
          </w:tcPr>
          <w:p w:rsidR="00723B9B" w:rsidRPr="004A32A4" w:rsidRDefault="00723B9B" w:rsidP="00723B9B">
            <w:pPr>
              <w:jc w:val="center"/>
              <w:rPr>
                <w:rFonts w:eastAsia="Times New Roman"/>
                <w:b/>
                <w:color w:val="2869A1"/>
                <w:lang w:val="de-DE" w:eastAsia="it-IT"/>
              </w:rPr>
            </w:pPr>
            <w:r w:rsidRPr="004A32A4">
              <w:rPr>
                <w:rFonts w:eastAsia="Times New Roman"/>
                <w:b/>
                <w:color w:val="2869A1"/>
                <w:lang w:val="de-DE" w:eastAsia="it-IT"/>
              </w:rPr>
              <w:t>Ziel</w:t>
            </w:r>
          </w:p>
        </w:tc>
        <w:tc>
          <w:tcPr>
            <w:tcW w:w="10430" w:type="dxa"/>
            <w:gridSpan w:val="3"/>
            <w:tcBorders>
              <w:top w:val="nil"/>
              <w:left w:val="nil"/>
              <w:bottom w:val="nil"/>
            </w:tcBorders>
            <w:shd w:val="clear" w:color="auto" w:fill="auto"/>
            <w:vAlign w:val="center"/>
          </w:tcPr>
          <w:p w:rsidR="00723B9B" w:rsidRPr="004A32A4" w:rsidRDefault="00723B9B" w:rsidP="00723B9B">
            <w:pPr>
              <w:jc w:val="right"/>
              <w:rPr>
                <w:rFonts w:eastAsia="Times New Roman"/>
                <w:b/>
                <w:color w:val="2869A1"/>
                <w:lang w:val="de-DE" w:eastAsia="it-IT"/>
              </w:rPr>
            </w:pPr>
            <w:r w:rsidRPr="004A32A4">
              <w:rPr>
                <w:rFonts w:eastAsia="Times New Roman"/>
                <w:b/>
                <w:color w:val="2869A1"/>
                <w:lang w:val="de-DE" w:eastAsia="it-IT"/>
              </w:rPr>
              <w:t>Pflanzensaison (Jahr)</w:t>
            </w:r>
          </w:p>
        </w:tc>
      </w:tr>
      <w:tr w:rsidR="00723B9B" w:rsidRPr="004A32A4" w:rsidTr="00723B9B">
        <w:trPr>
          <w:trHeight w:val="567"/>
          <w:jc w:val="right"/>
        </w:trPr>
        <w:tc>
          <w:tcPr>
            <w:tcW w:w="2655" w:type="dxa"/>
            <w:vMerge/>
            <w:shd w:val="clear" w:color="auto" w:fill="auto"/>
            <w:vAlign w:val="center"/>
          </w:tcPr>
          <w:p w:rsidR="00723B9B" w:rsidRPr="004A32A4" w:rsidRDefault="00723B9B" w:rsidP="00723B9B">
            <w:pPr>
              <w:rPr>
                <w:rFonts w:eastAsia="Times New Roman"/>
                <w:color w:val="2869A1"/>
                <w:lang w:val="de-DE" w:eastAsia="it-IT"/>
              </w:rPr>
            </w:pPr>
          </w:p>
        </w:tc>
        <w:tc>
          <w:tcPr>
            <w:tcW w:w="3620" w:type="dxa"/>
            <w:tcBorders>
              <w:top w:val="nil"/>
            </w:tcBorders>
            <w:shd w:val="clear" w:color="auto" w:fill="auto"/>
            <w:vAlign w:val="center"/>
          </w:tcPr>
          <w:p w:rsidR="00723B9B" w:rsidRPr="004A32A4" w:rsidRDefault="00723B9B" w:rsidP="00723B9B">
            <w:pPr>
              <w:jc w:val="right"/>
              <w:rPr>
                <w:rFonts w:eastAsia="Times New Roman"/>
                <w:b/>
                <w:color w:val="2869A1"/>
                <w:lang w:val="de-DE" w:eastAsia="de-DE"/>
              </w:rPr>
            </w:pPr>
            <w:r w:rsidRPr="004A32A4">
              <w:rPr>
                <w:rFonts w:eastAsia="Times New Roman"/>
                <w:b/>
                <w:color w:val="2869A1"/>
                <w:lang w:val="de-DE" w:eastAsia="de-DE"/>
              </w:rPr>
              <w:t>2016</w:t>
            </w:r>
          </w:p>
        </w:tc>
        <w:tc>
          <w:tcPr>
            <w:tcW w:w="3405" w:type="dxa"/>
            <w:tcBorders>
              <w:top w:val="nil"/>
            </w:tcBorders>
            <w:shd w:val="clear" w:color="auto" w:fill="auto"/>
            <w:vAlign w:val="center"/>
          </w:tcPr>
          <w:p w:rsidR="00723B9B" w:rsidRPr="004A32A4" w:rsidRDefault="00723B9B" w:rsidP="00723B9B">
            <w:pPr>
              <w:jc w:val="right"/>
              <w:rPr>
                <w:rFonts w:eastAsia="Times New Roman"/>
                <w:b/>
                <w:color w:val="2869A1"/>
                <w:lang w:val="de-DE" w:eastAsia="de-DE"/>
              </w:rPr>
            </w:pPr>
            <w:r w:rsidRPr="004A32A4">
              <w:rPr>
                <w:rFonts w:eastAsia="Times New Roman"/>
                <w:b/>
                <w:color w:val="2869A1"/>
                <w:lang w:val="de-DE" w:eastAsia="de-DE"/>
              </w:rPr>
              <w:t>2017</w:t>
            </w:r>
          </w:p>
        </w:tc>
        <w:tc>
          <w:tcPr>
            <w:tcW w:w="3405" w:type="dxa"/>
            <w:tcBorders>
              <w:top w:val="nil"/>
            </w:tcBorders>
            <w:shd w:val="clear" w:color="auto" w:fill="auto"/>
            <w:vAlign w:val="center"/>
          </w:tcPr>
          <w:p w:rsidR="00723B9B" w:rsidRPr="004A32A4" w:rsidRDefault="00723B9B" w:rsidP="00723B9B">
            <w:pPr>
              <w:jc w:val="right"/>
              <w:rPr>
                <w:rFonts w:eastAsia="Times New Roman"/>
                <w:b/>
                <w:color w:val="2869A1"/>
                <w:lang w:val="de-DE" w:eastAsia="de-DE"/>
              </w:rPr>
            </w:pPr>
            <w:r w:rsidRPr="004A32A4">
              <w:rPr>
                <w:rFonts w:eastAsia="Times New Roman"/>
                <w:b/>
                <w:color w:val="2869A1"/>
                <w:lang w:val="de-DE" w:eastAsia="de-DE"/>
              </w:rPr>
              <w:t>2018</w:t>
            </w:r>
          </w:p>
        </w:tc>
      </w:tr>
      <w:tr w:rsidR="00723B9B" w:rsidRPr="004A32A4" w:rsidTr="00723B9B">
        <w:trPr>
          <w:trHeight w:val="996"/>
          <w:jc w:val="right"/>
        </w:trPr>
        <w:tc>
          <w:tcPr>
            <w:tcW w:w="2655" w:type="dxa"/>
            <w:shd w:val="clear" w:color="auto" w:fill="auto"/>
            <w:vAlign w:val="center"/>
          </w:tcPr>
          <w:p w:rsidR="00723B9B" w:rsidRPr="00014300" w:rsidRDefault="00723B9B" w:rsidP="00723B9B">
            <w:pPr>
              <w:pStyle w:val="Tabelle"/>
              <w:rPr>
                <w:color w:val="0070C0"/>
              </w:rPr>
            </w:pPr>
            <w:r w:rsidRPr="00014300">
              <w:rPr>
                <w:color w:val="0070C0"/>
              </w:rPr>
              <w:t xml:space="preserve">Jährlicher Einsatz des Wirkstoffs </w:t>
            </w:r>
            <w:r w:rsidRPr="00014300">
              <w:rPr>
                <w:i/>
                <w:color w:val="0070C0"/>
              </w:rPr>
              <w:t>Metarhizium</w:t>
            </w:r>
            <w:r w:rsidRPr="00014300">
              <w:rPr>
                <w:color w:val="0070C0"/>
              </w:rPr>
              <w:t xml:space="preserve"> </w:t>
            </w:r>
            <w:r w:rsidRPr="00014300">
              <w:rPr>
                <w:i/>
                <w:color w:val="0070C0"/>
              </w:rPr>
              <w:t>brunneum</w:t>
            </w:r>
            <w:r w:rsidRPr="00014300">
              <w:rPr>
                <w:color w:val="0070C0"/>
              </w:rPr>
              <w:t xml:space="preserve"> im Maisacker</w:t>
            </w:r>
          </w:p>
        </w:tc>
        <w:tc>
          <w:tcPr>
            <w:tcW w:w="3620" w:type="dxa"/>
            <w:shd w:val="clear" w:color="auto" w:fill="auto"/>
            <w:vAlign w:val="center"/>
          </w:tcPr>
          <w:p w:rsidR="00723B9B" w:rsidRPr="004A32A4" w:rsidRDefault="00723B9B" w:rsidP="00723B9B">
            <w:pPr>
              <w:pStyle w:val="Tabelle"/>
              <w:rPr>
                <w:bCs/>
                <w:kern w:val="32"/>
                <w:sz w:val="28"/>
                <w:szCs w:val="28"/>
                <w:lang w:eastAsia="it-IT"/>
              </w:rPr>
            </w:pPr>
            <w:r w:rsidRPr="004A32A4">
              <w:rPr>
                <w:bCs/>
                <w:kern w:val="32"/>
                <w:lang w:eastAsia="it-IT"/>
              </w:rPr>
              <w:t>Je zwei Behandlungsflächen wurden mit 50 kg ha</w:t>
            </w:r>
            <w:r w:rsidRPr="004A32A4">
              <w:rPr>
                <w:bCs/>
                <w:kern w:val="32"/>
                <w:vertAlign w:val="superscript"/>
                <w:lang w:eastAsia="it-IT"/>
              </w:rPr>
              <w:t>-1</w:t>
            </w:r>
            <w:r w:rsidRPr="004A32A4">
              <w:rPr>
                <w:bCs/>
                <w:kern w:val="32"/>
                <w:lang w:eastAsia="it-IT"/>
              </w:rPr>
              <w:t xml:space="preserve"> in der Steiermark und in Tirol mit GranMet® appliziert</w:t>
            </w:r>
          </w:p>
        </w:tc>
        <w:tc>
          <w:tcPr>
            <w:tcW w:w="3405" w:type="dxa"/>
            <w:shd w:val="clear" w:color="auto" w:fill="auto"/>
            <w:vAlign w:val="center"/>
          </w:tcPr>
          <w:p w:rsidR="00723B9B" w:rsidRPr="004A32A4" w:rsidRDefault="00723B9B" w:rsidP="00723B9B">
            <w:pPr>
              <w:pStyle w:val="Tabelle"/>
              <w:rPr>
                <w:bCs/>
                <w:kern w:val="32"/>
                <w:sz w:val="28"/>
                <w:szCs w:val="28"/>
                <w:lang w:eastAsia="it-IT"/>
              </w:rPr>
            </w:pPr>
            <w:r w:rsidRPr="004A32A4">
              <w:rPr>
                <w:bCs/>
                <w:kern w:val="32"/>
                <w:lang w:eastAsia="it-IT"/>
              </w:rPr>
              <w:t>Erneute GranMet®Applikation in der Steiermark und Tirol (50 kg ha</w:t>
            </w:r>
            <w:r w:rsidRPr="004A32A4">
              <w:rPr>
                <w:bCs/>
                <w:kern w:val="32"/>
                <w:vertAlign w:val="superscript"/>
                <w:lang w:eastAsia="it-IT"/>
              </w:rPr>
              <w:t>-1)</w:t>
            </w:r>
          </w:p>
        </w:tc>
        <w:tc>
          <w:tcPr>
            <w:tcW w:w="3405" w:type="dxa"/>
            <w:shd w:val="clear" w:color="auto" w:fill="auto"/>
            <w:vAlign w:val="center"/>
          </w:tcPr>
          <w:p w:rsidR="00723B9B" w:rsidRPr="004A32A4" w:rsidRDefault="00723B9B" w:rsidP="00723B9B">
            <w:pPr>
              <w:pStyle w:val="Tabelle"/>
              <w:rPr>
                <w:bCs/>
                <w:kern w:val="32"/>
                <w:lang w:eastAsia="it-IT"/>
              </w:rPr>
            </w:pPr>
            <w:r w:rsidRPr="004A32A4">
              <w:rPr>
                <w:bCs/>
                <w:kern w:val="32"/>
                <w:lang w:eastAsia="it-IT"/>
              </w:rPr>
              <w:t>Erneute GranMet</w:t>
            </w:r>
            <w:r w:rsidRPr="004A32A4">
              <w:rPr>
                <w:bCs/>
                <w:kern w:val="32"/>
                <w:vertAlign w:val="superscript"/>
                <w:lang w:eastAsia="it-IT"/>
              </w:rPr>
              <w:t>®</w:t>
            </w:r>
            <w:r w:rsidRPr="004A32A4">
              <w:rPr>
                <w:bCs/>
                <w:kern w:val="32"/>
                <w:lang w:eastAsia="it-IT"/>
              </w:rPr>
              <w:t>Applikation in der Steiermark und Tirol (50 kg ha</w:t>
            </w:r>
            <w:r w:rsidRPr="004A32A4">
              <w:rPr>
                <w:bCs/>
                <w:kern w:val="32"/>
                <w:vertAlign w:val="superscript"/>
                <w:lang w:eastAsia="it-IT"/>
              </w:rPr>
              <w:t>-1)</w:t>
            </w:r>
          </w:p>
        </w:tc>
      </w:tr>
      <w:tr w:rsidR="00723B9B" w:rsidRPr="004A32A4" w:rsidTr="00723B9B">
        <w:trPr>
          <w:trHeight w:val="3003"/>
          <w:jc w:val="right"/>
        </w:trPr>
        <w:tc>
          <w:tcPr>
            <w:tcW w:w="2655" w:type="dxa"/>
            <w:shd w:val="clear" w:color="auto" w:fill="auto"/>
            <w:vAlign w:val="center"/>
          </w:tcPr>
          <w:p w:rsidR="00723B9B" w:rsidRPr="00014300" w:rsidRDefault="00723B9B" w:rsidP="00723B9B">
            <w:pPr>
              <w:pStyle w:val="Tabelle"/>
              <w:rPr>
                <w:color w:val="0070C0"/>
              </w:rPr>
            </w:pPr>
            <w:r w:rsidRPr="00014300">
              <w:rPr>
                <w:color w:val="0070C0"/>
              </w:rPr>
              <w:t xml:space="preserve">Persistenz-Erhebung des Wirkstoffes </w:t>
            </w:r>
            <w:r w:rsidRPr="00014300">
              <w:rPr>
                <w:i/>
                <w:color w:val="0070C0"/>
              </w:rPr>
              <w:t xml:space="preserve">M. brunneum: </w:t>
            </w:r>
            <w:r w:rsidRPr="00014300">
              <w:rPr>
                <w:color w:val="0070C0"/>
              </w:rPr>
              <w:t>Schwellenwert von &gt; 5000 KBE pro Gram Boden Trockengewicht soll flächendeckend sichergestellt werden</w:t>
            </w:r>
          </w:p>
          <w:p w:rsidR="00723B9B" w:rsidRPr="00014300" w:rsidRDefault="00723B9B" w:rsidP="00723B9B">
            <w:pPr>
              <w:pStyle w:val="Tabelle"/>
              <w:rPr>
                <w:bCs/>
                <w:color w:val="0070C0"/>
                <w:kern w:val="32"/>
                <w:sz w:val="28"/>
                <w:szCs w:val="28"/>
                <w:lang w:eastAsia="it-IT"/>
              </w:rPr>
            </w:pPr>
            <w:r w:rsidRPr="00014300">
              <w:rPr>
                <w:bCs/>
                <w:color w:val="0070C0"/>
                <w:kern w:val="32"/>
                <w:lang w:eastAsia="it-IT"/>
              </w:rPr>
              <w:t xml:space="preserve">(Steigerung der </w:t>
            </w:r>
            <w:r w:rsidRPr="00014300">
              <w:rPr>
                <w:bCs/>
                <w:i/>
                <w:color w:val="0070C0"/>
                <w:kern w:val="32"/>
                <w:lang w:eastAsia="it-IT"/>
              </w:rPr>
              <w:t>Metarhizium</w:t>
            </w:r>
            <w:r w:rsidRPr="00014300">
              <w:rPr>
                <w:bCs/>
                <w:color w:val="0070C0"/>
                <w:kern w:val="32"/>
                <w:lang w:eastAsia="it-IT"/>
              </w:rPr>
              <w:t xml:space="preserve"> Abundanz im Boden) </w:t>
            </w:r>
          </w:p>
        </w:tc>
        <w:tc>
          <w:tcPr>
            <w:tcW w:w="3620" w:type="dxa"/>
            <w:shd w:val="clear" w:color="auto" w:fill="auto"/>
            <w:vAlign w:val="center"/>
          </w:tcPr>
          <w:p w:rsidR="00723B9B" w:rsidRPr="004A32A4" w:rsidRDefault="00723B9B" w:rsidP="00723B9B">
            <w:pPr>
              <w:pStyle w:val="Tabelle"/>
              <w:rPr>
                <w:bCs/>
                <w:kern w:val="32"/>
                <w:sz w:val="28"/>
                <w:szCs w:val="28"/>
                <w:lang w:eastAsia="it-IT"/>
              </w:rPr>
            </w:pPr>
            <w:r w:rsidRPr="004A32A4">
              <w:rPr>
                <w:bCs/>
                <w:kern w:val="32"/>
                <w:lang w:eastAsia="it-IT"/>
              </w:rPr>
              <w:t>Im April, Juni und September durchgeführt</w:t>
            </w:r>
          </w:p>
        </w:tc>
        <w:tc>
          <w:tcPr>
            <w:tcW w:w="3405" w:type="dxa"/>
            <w:shd w:val="clear" w:color="auto" w:fill="auto"/>
            <w:vAlign w:val="center"/>
          </w:tcPr>
          <w:p w:rsidR="00723B9B" w:rsidRPr="004A32A4" w:rsidRDefault="00723B9B" w:rsidP="00723B9B">
            <w:pPr>
              <w:pStyle w:val="Tabelle"/>
              <w:rPr>
                <w:bCs/>
                <w:kern w:val="32"/>
                <w:sz w:val="28"/>
                <w:szCs w:val="28"/>
                <w:lang w:eastAsia="it-IT"/>
              </w:rPr>
            </w:pPr>
            <w:r w:rsidRPr="004A32A4">
              <w:rPr>
                <w:bCs/>
                <w:kern w:val="32"/>
                <w:lang w:eastAsia="it-IT"/>
              </w:rPr>
              <w:t>Persitenzerhebung im April, Juni und September durchgeführt – die geforderte Pilzdichte (&gt; 5000 KBE g</w:t>
            </w:r>
            <w:r w:rsidRPr="004A32A4">
              <w:rPr>
                <w:bCs/>
                <w:kern w:val="32"/>
                <w:vertAlign w:val="superscript"/>
                <w:lang w:eastAsia="it-IT"/>
              </w:rPr>
              <w:t>-1</w:t>
            </w:r>
            <w:r w:rsidRPr="004A32A4">
              <w:rPr>
                <w:bCs/>
                <w:kern w:val="32"/>
                <w:lang w:eastAsia="it-IT"/>
              </w:rPr>
              <w:t xml:space="preserve">-Boden TG) konnte mit Beginn Frühjahr 2014 immer nach der Frühjahrs-Beprobung (März/April) im Boden nachgewiesen werden. Dort wo ein hoher Käferbefall nachgewiesen wurde, konnte auch eine hohe </w:t>
            </w:r>
            <w:r w:rsidRPr="004A32A4">
              <w:rPr>
                <w:bCs/>
                <w:i/>
                <w:kern w:val="32"/>
                <w:lang w:eastAsia="it-IT"/>
              </w:rPr>
              <w:t xml:space="preserve">Metarhizium </w:t>
            </w:r>
            <w:r w:rsidRPr="004A32A4">
              <w:rPr>
                <w:bCs/>
                <w:kern w:val="32"/>
                <w:lang w:eastAsia="it-IT"/>
              </w:rPr>
              <w:t>Abundanz festgestellt werden. Pilzdichte korreliert positiv mit Käferabundanz.</w:t>
            </w:r>
          </w:p>
        </w:tc>
        <w:tc>
          <w:tcPr>
            <w:tcW w:w="3405" w:type="dxa"/>
            <w:shd w:val="clear" w:color="auto" w:fill="auto"/>
            <w:vAlign w:val="center"/>
          </w:tcPr>
          <w:p w:rsidR="00723B9B" w:rsidRPr="004A32A4" w:rsidRDefault="00723B9B" w:rsidP="00723B9B">
            <w:pPr>
              <w:pStyle w:val="Tabelle"/>
              <w:rPr>
                <w:bCs/>
                <w:kern w:val="32"/>
                <w:lang w:eastAsia="it-IT"/>
              </w:rPr>
            </w:pPr>
            <w:r w:rsidRPr="004A32A4">
              <w:rPr>
                <w:bCs/>
                <w:kern w:val="32"/>
                <w:lang w:eastAsia="it-IT"/>
              </w:rPr>
              <w:t xml:space="preserve">Die Untersuchungen wurden trotz Programmänderung (siehe Wirksamkeitsstudie) durchgeführt. </w:t>
            </w:r>
          </w:p>
          <w:p w:rsidR="00723B9B" w:rsidRPr="004A32A4" w:rsidRDefault="00723B9B" w:rsidP="00723B9B">
            <w:pPr>
              <w:pStyle w:val="Tabelle"/>
              <w:rPr>
                <w:bCs/>
                <w:kern w:val="32"/>
                <w:lang w:eastAsia="it-IT"/>
              </w:rPr>
            </w:pPr>
          </w:p>
          <w:p w:rsidR="00723B9B" w:rsidRPr="004A32A4" w:rsidRDefault="00723B9B" w:rsidP="00723B9B">
            <w:pPr>
              <w:pStyle w:val="Tabelle"/>
              <w:rPr>
                <w:bCs/>
                <w:kern w:val="32"/>
                <w:lang w:eastAsia="it-IT"/>
              </w:rPr>
            </w:pPr>
            <w:r w:rsidRPr="004A32A4">
              <w:rPr>
                <w:bCs/>
                <w:kern w:val="32"/>
                <w:lang w:eastAsia="it-IT"/>
              </w:rPr>
              <w:t xml:space="preserve">Die </w:t>
            </w:r>
            <w:r w:rsidRPr="004A32A4">
              <w:rPr>
                <w:bCs/>
                <w:i/>
                <w:kern w:val="32"/>
                <w:lang w:eastAsia="it-IT"/>
              </w:rPr>
              <w:t>Metarhizium</w:t>
            </w:r>
            <w:r w:rsidRPr="004A32A4">
              <w:rPr>
                <w:bCs/>
                <w:kern w:val="32"/>
                <w:lang w:eastAsia="it-IT"/>
              </w:rPr>
              <w:t>-Abundanz konnte flächendeckend in den Behandlungsflächen bestätigt werden (&gt; 2.000 g</w:t>
            </w:r>
            <w:r w:rsidRPr="004A32A4">
              <w:rPr>
                <w:bCs/>
                <w:kern w:val="32"/>
                <w:vertAlign w:val="superscript"/>
                <w:lang w:eastAsia="it-IT"/>
              </w:rPr>
              <w:t>-1</w:t>
            </w:r>
            <w:r w:rsidRPr="004A32A4">
              <w:rPr>
                <w:bCs/>
                <w:kern w:val="32"/>
                <w:lang w:eastAsia="it-IT"/>
              </w:rPr>
              <w:t>-Boden TG in Tirol, trotz geringer Diabrotica-Larven Abundanz; (&gt; 5.000 g</w:t>
            </w:r>
            <w:r w:rsidRPr="004A32A4">
              <w:rPr>
                <w:bCs/>
                <w:kern w:val="32"/>
                <w:vertAlign w:val="superscript"/>
                <w:lang w:eastAsia="it-IT"/>
              </w:rPr>
              <w:t>-1</w:t>
            </w:r>
            <w:r w:rsidRPr="004A32A4">
              <w:rPr>
                <w:bCs/>
                <w:kern w:val="32"/>
                <w:lang w:eastAsia="it-IT"/>
              </w:rPr>
              <w:t xml:space="preserve">-Boden TG in Steiermark). </w:t>
            </w:r>
          </w:p>
        </w:tc>
      </w:tr>
      <w:tr w:rsidR="00723B9B" w:rsidRPr="004A32A4" w:rsidTr="00723B9B">
        <w:trPr>
          <w:trHeight w:val="1171"/>
          <w:jc w:val="right"/>
        </w:trPr>
        <w:tc>
          <w:tcPr>
            <w:tcW w:w="2655" w:type="dxa"/>
            <w:shd w:val="clear" w:color="auto" w:fill="auto"/>
            <w:vAlign w:val="center"/>
          </w:tcPr>
          <w:p w:rsidR="00723B9B" w:rsidRPr="00014300" w:rsidRDefault="00723B9B" w:rsidP="00723B9B">
            <w:pPr>
              <w:pStyle w:val="Tabelle"/>
              <w:rPr>
                <w:bCs/>
                <w:color w:val="0070C0"/>
                <w:kern w:val="32"/>
                <w:sz w:val="28"/>
                <w:szCs w:val="28"/>
                <w:lang w:eastAsia="it-IT"/>
              </w:rPr>
            </w:pPr>
            <w:r w:rsidRPr="00014300">
              <w:rPr>
                <w:bCs/>
                <w:color w:val="0070C0"/>
                <w:kern w:val="32"/>
                <w:lang w:eastAsia="it-IT"/>
              </w:rPr>
              <w:t xml:space="preserve">Präventive Massenapplikation von </w:t>
            </w:r>
            <w:r w:rsidRPr="00014300">
              <w:rPr>
                <w:bCs/>
                <w:i/>
                <w:color w:val="0070C0"/>
                <w:kern w:val="32"/>
                <w:lang w:eastAsia="it-IT"/>
              </w:rPr>
              <w:t xml:space="preserve">M. brunneum </w:t>
            </w:r>
            <w:r w:rsidRPr="00014300">
              <w:rPr>
                <w:bCs/>
                <w:color w:val="0070C0"/>
                <w:kern w:val="32"/>
                <w:lang w:eastAsia="it-IT"/>
              </w:rPr>
              <w:t>Stamm BIPESCO 5 soll ein Maiswurzelbohrer-Befall in Tiroler Maisfelder verhindern</w:t>
            </w:r>
          </w:p>
        </w:tc>
        <w:tc>
          <w:tcPr>
            <w:tcW w:w="3620" w:type="dxa"/>
            <w:shd w:val="clear" w:color="auto" w:fill="auto"/>
            <w:vAlign w:val="center"/>
          </w:tcPr>
          <w:p w:rsidR="00723B9B" w:rsidRPr="004A32A4" w:rsidRDefault="00723B9B" w:rsidP="00723B9B">
            <w:pPr>
              <w:pStyle w:val="Tabelle"/>
              <w:rPr>
                <w:bCs/>
                <w:kern w:val="32"/>
                <w:sz w:val="28"/>
                <w:szCs w:val="28"/>
                <w:lang w:eastAsia="it-IT"/>
              </w:rPr>
            </w:pPr>
            <w:r w:rsidRPr="004A32A4">
              <w:rPr>
                <w:bCs/>
                <w:kern w:val="32"/>
                <w:lang w:eastAsia="it-IT"/>
              </w:rPr>
              <w:t xml:space="preserve">Arbeitshypothese, konnte nach einem Jahr noch nicht bestätigt  werden </w:t>
            </w:r>
            <w:r w:rsidRPr="004A32A4">
              <w:rPr>
                <w:bCs/>
                <w:kern w:val="32"/>
                <w:sz w:val="28"/>
                <w:szCs w:val="28"/>
                <w:lang w:eastAsia="it-IT"/>
              </w:rPr>
              <w:t xml:space="preserve"> </w:t>
            </w:r>
          </w:p>
        </w:tc>
        <w:tc>
          <w:tcPr>
            <w:tcW w:w="3405" w:type="dxa"/>
            <w:shd w:val="clear" w:color="auto" w:fill="auto"/>
            <w:vAlign w:val="center"/>
          </w:tcPr>
          <w:p w:rsidR="00723B9B" w:rsidRPr="004A32A4" w:rsidRDefault="00723B9B" w:rsidP="00723B9B">
            <w:pPr>
              <w:pStyle w:val="Tabelle"/>
              <w:rPr>
                <w:bCs/>
                <w:kern w:val="32"/>
                <w:sz w:val="28"/>
                <w:szCs w:val="28"/>
                <w:lang w:eastAsia="it-IT"/>
              </w:rPr>
            </w:pPr>
            <w:r w:rsidRPr="004A32A4">
              <w:rPr>
                <w:bCs/>
                <w:kern w:val="32"/>
                <w:lang w:eastAsia="it-IT"/>
              </w:rPr>
              <w:t>Auch im zweiten Einsatzjahr ist eine Bewertung nicht durchführbar.</w:t>
            </w:r>
          </w:p>
        </w:tc>
        <w:tc>
          <w:tcPr>
            <w:tcW w:w="3405" w:type="dxa"/>
            <w:shd w:val="clear" w:color="auto" w:fill="auto"/>
            <w:vAlign w:val="center"/>
          </w:tcPr>
          <w:p w:rsidR="00723B9B" w:rsidRPr="004A32A4" w:rsidRDefault="00723B9B" w:rsidP="00723B9B">
            <w:pPr>
              <w:pStyle w:val="Tabelle"/>
              <w:rPr>
                <w:bCs/>
                <w:kern w:val="32"/>
                <w:lang w:eastAsia="it-IT"/>
              </w:rPr>
            </w:pPr>
            <w:r w:rsidRPr="004A32A4">
              <w:rPr>
                <w:bCs/>
                <w:kern w:val="32"/>
                <w:lang w:eastAsia="it-IT"/>
              </w:rPr>
              <w:t>Durch die jährliche Anwendung des Produktes GranMet</w:t>
            </w:r>
            <w:r w:rsidRPr="004A32A4">
              <w:rPr>
                <w:bCs/>
                <w:kern w:val="32"/>
                <w:vertAlign w:val="superscript"/>
                <w:lang w:eastAsia="it-IT"/>
              </w:rPr>
              <w:t>TM</w:t>
            </w:r>
            <w:r w:rsidRPr="004A32A4">
              <w:rPr>
                <w:bCs/>
                <w:kern w:val="32"/>
                <w:lang w:eastAsia="it-IT"/>
              </w:rPr>
              <w:t xml:space="preserve"> Pilzgerste konnte eine gleichmäßige </w:t>
            </w:r>
            <w:r w:rsidRPr="004A32A4">
              <w:rPr>
                <w:bCs/>
                <w:i/>
                <w:kern w:val="32"/>
                <w:lang w:eastAsia="it-IT"/>
              </w:rPr>
              <w:t>Metarhizium</w:t>
            </w:r>
            <w:r w:rsidRPr="004A32A4">
              <w:rPr>
                <w:bCs/>
                <w:kern w:val="32"/>
                <w:lang w:eastAsia="it-IT"/>
              </w:rPr>
              <w:t xml:space="preserve"> Abundanz (&gt; 2.000 KBE g</w:t>
            </w:r>
            <w:r w:rsidRPr="004A32A4">
              <w:rPr>
                <w:bCs/>
                <w:kern w:val="32"/>
                <w:vertAlign w:val="superscript"/>
                <w:lang w:eastAsia="it-IT"/>
              </w:rPr>
              <w:t>-1</w:t>
            </w:r>
            <w:r w:rsidRPr="004A32A4">
              <w:rPr>
                <w:bCs/>
                <w:kern w:val="32"/>
                <w:lang w:eastAsia="it-IT"/>
              </w:rPr>
              <w:t xml:space="preserve"> TG) in den Versuchsfeldern aufrechterhalten werden. In dem Kontrollfeld konnte nur ein Basiswert von &lt; 800 KBE g</w:t>
            </w:r>
            <w:r w:rsidRPr="004A32A4">
              <w:rPr>
                <w:bCs/>
                <w:kern w:val="32"/>
                <w:vertAlign w:val="superscript"/>
                <w:lang w:eastAsia="it-IT"/>
              </w:rPr>
              <w:t>-1</w:t>
            </w:r>
            <w:r w:rsidRPr="004A32A4">
              <w:rPr>
                <w:bCs/>
                <w:kern w:val="32"/>
                <w:lang w:eastAsia="it-IT"/>
              </w:rPr>
              <w:t xml:space="preserve"> TG nachgewiesen werden.</w:t>
            </w:r>
          </w:p>
        </w:tc>
      </w:tr>
      <w:tr w:rsidR="00723B9B" w:rsidRPr="004A32A4" w:rsidTr="00723B9B">
        <w:trPr>
          <w:trHeight w:val="2399"/>
          <w:jc w:val="right"/>
        </w:trPr>
        <w:tc>
          <w:tcPr>
            <w:tcW w:w="2655" w:type="dxa"/>
            <w:shd w:val="clear" w:color="auto" w:fill="auto"/>
            <w:vAlign w:val="center"/>
          </w:tcPr>
          <w:p w:rsidR="00723B9B" w:rsidRPr="00014300" w:rsidRDefault="00723B9B" w:rsidP="00723B9B">
            <w:pPr>
              <w:pStyle w:val="Tabelle"/>
              <w:rPr>
                <w:bCs/>
                <w:color w:val="0070C0"/>
                <w:kern w:val="32"/>
                <w:sz w:val="28"/>
                <w:szCs w:val="28"/>
                <w:lang w:eastAsia="it-IT"/>
              </w:rPr>
            </w:pPr>
            <w:r w:rsidRPr="00014300">
              <w:rPr>
                <w:bCs/>
                <w:color w:val="0070C0"/>
                <w:kern w:val="32"/>
                <w:lang w:eastAsia="it-IT"/>
              </w:rPr>
              <w:t xml:space="preserve">Präventive Massenapplikation von </w:t>
            </w:r>
            <w:r w:rsidRPr="00014300">
              <w:rPr>
                <w:bCs/>
                <w:i/>
                <w:color w:val="0070C0"/>
                <w:kern w:val="32"/>
                <w:lang w:eastAsia="it-IT"/>
              </w:rPr>
              <w:t xml:space="preserve">M. brunneum </w:t>
            </w:r>
            <w:r w:rsidRPr="00014300">
              <w:rPr>
                <w:bCs/>
                <w:color w:val="0070C0"/>
                <w:kern w:val="32"/>
                <w:lang w:eastAsia="it-IT"/>
              </w:rPr>
              <w:t>Stamm BIPESCO 5 soll ein Maiswurzelbohrer-Befall die Population in der Steiermark nachhaltig reduzieren</w:t>
            </w:r>
          </w:p>
        </w:tc>
        <w:tc>
          <w:tcPr>
            <w:tcW w:w="3620" w:type="dxa"/>
            <w:shd w:val="clear" w:color="auto" w:fill="auto"/>
            <w:vAlign w:val="center"/>
          </w:tcPr>
          <w:p w:rsidR="00723B9B" w:rsidRPr="004A32A4" w:rsidRDefault="00723B9B" w:rsidP="00723B9B">
            <w:pPr>
              <w:pStyle w:val="Tabelle"/>
              <w:rPr>
                <w:bCs/>
                <w:kern w:val="32"/>
                <w:sz w:val="28"/>
                <w:szCs w:val="28"/>
                <w:lang w:eastAsia="it-IT"/>
              </w:rPr>
            </w:pPr>
            <w:r w:rsidRPr="004A32A4">
              <w:rPr>
                <w:bCs/>
                <w:kern w:val="32"/>
                <w:lang w:eastAsia="it-IT"/>
              </w:rPr>
              <w:t>Erwartungsgemäß kann nach einer Feldsaison noch keine fachlich gesicherte Bewertung erfolgen.</w:t>
            </w:r>
          </w:p>
        </w:tc>
        <w:tc>
          <w:tcPr>
            <w:tcW w:w="3405" w:type="dxa"/>
            <w:shd w:val="clear" w:color="auto" w:fill="auto"/>
            <w:vAlign w:val="center"/>
          </w:tcPr>
          <w:p w:rsidR="00723B9B" w:rsidRPr="004A32A4" w:rsidRDefault="00723B9B" w:rsidP="00723B9B">
            <w:pPr>
              <w:pStyle w:val="Tabelle"/>
              <w:rPr>
                <w:bCs/>
                <w:kern w:val="32"/>
                <w:sz w:val="28"/>
                <w:szCs w:val="28"/>
                <w:lang w:eastAsia="it-IT"/>
              </w:rPr>
            </w:pPr>
            <w:r w:rsidRPr="004A32A4">
              <w:rPr>
                <w:bCs/>
                <w:kern w:val="32"/>
                <w:lang w:eastAsia="it-IT"/>
              </w:rPr>
              <w:t>Auch das zweite Beobachtungsjahr führte zu keinem statistisch relevanten Ergebnis: Als gesicherte Bekämpfungsmaßnahme kann zurzeit nur ein kombinierter Einsatz von Nematoden und Pilz (Rauch et al. 2017) bzw. Fruchtwechsel mit nachhaltiger GranMet® Applikation empfohlen werden.</w:t>
            </w:r>
          </w:p>
        </w:tc>
        <w:tc>
          <w:tcPr>
            <w:tcW w:w="3405" w:type="dxa"/>
            <w:shd w:val="clear" w:color="auto" w:fill="auto"/>
            <w:vAlign w:val="center"/>
          </w:tcPr>
          <w:p w:rsidR="00723B9B" w:rsidRPr="004A32A4" w:rsidRDefault="00723B9B" w:rsidP="00723B9B">
            <w:pPr>
              <w:pStyle w:val="Tabelle"/>
              <w:rPr>
                <w:bCs/>
                <w:kern w:val="32"/>
                <w:lang w:eastAsia="it-IT"/>
              </w:rPr>
            </w:pPr>
            <w:r w:rsidRPr="004A32A4">
              <w:rPr>
                <w:bCs/>
                <w:i/>
                <w:kern w:val="32"/>
                <w:lang w:eastAsia="it-IT"/>
              </w:rPr>
              <w:t xml:space="preserve">Metarhizium </w:t>
            </w:r>
            <w:r w:rsidRPr="004A32A4">
              <w:rPr>
                <w:bCs/>
                <w:kern w:val="32"/>
                <w:lang w:eastAsia="it-IT"/>
              </w:rPr>
              <w:t xml:space="preserve">kann als ein geeigneter Wirkstoff zur präventiven Kontrolle von </w:t>
            </w:r>
            <w:r w:rsidRPr="004A32A4">
              <w:rPr>
                <w:bCs/>
                <w:i/>
                <w:kern w:val="32"/>
                <w:lang w:eastAsia="it-IT"/>
              </w:rPr>
              <w:t>Diabrotica</w:t>
            </w:r>
            <w:r w:rsidRPr="004A32A4">
              <w:rPr>
                <w:bCs/>
                <w:kern w:val="32"/>
                <w:lang w:eastAsia="it-IT"/>
              </w:rPr>
              <w:t xml:space="preserve"> erachtet werden. Bestätigt durch Untersuchung in den Dauerbehandlungsflächen. Siehe auch Persistenz-Untersuchung von Partner 2, </w:t>
            </w:r>
            <w:r w:rsidRPr="004A32A4">
              <w:rPr>
                <w:bCs/>
                <w:i/>
                <w:kern w:val="32"/>
                <w:lang w:eastAsia="it-IT"/>
              </w:rPr>
              <w:t xml:space="preserve">Diabrotica </w:t>
            </w:r>
            <w:r w:rsidRPr="004A32A4">
              <w:rPr>
                <w:bCs/>
                <w:kern w:val="32"/>
                <w:lang w:eastAsia="it-IT"/>
              </w:rPr>
              <w:t xml:space="preserve">– Mortalität durch Pilz. </w:t>
            </w:r>
          </w:p>
        </w:tc>
      </w:tr>
      <w:tr w:rsidR="00723B9B" w:rsidRPr="004A32A4" w:rsidTr="00723B9B">
        <w:trPr>
          <w:trHeight w:val="1873"/>
          <w:jc w:val="right"/>
        </w:trPr>
        <w:tc>
          <w:tcPr>
            <w:tcW w:w="2655" w:type="dxa"/>
            <w:shd w:val="clear" w:color="auto" w:fill="auto"/>
            <w:vAlign w:val="center"/>
          </w:tcPr>
          <w:p w:rsidR="00723B9B" w:rsidRPr="00014300" w:rsidRDefault="00723B9B" w:rsidP="00723B9B">
            <w:pPr>
              <w:pStyle w:val="Tabelle"/>
              <w:rPr>
                <w:bCs/>
                <w:color w:val="0070C0"/>
                <w:kern w:val="32"/>
                <w:lang w:eastAsia="it-IT"/>
              </w:rPr>
            </w:pPr>
            <w:r w:rsidRPr="00014300">
              <w:rPr>
                <w:bCs/>
                <w:color w:val="0070C0"/>
                <w:kern w:val="32"/>
                <w:lang w:eastAsia="it-IT"/>
              </w:rPr>
              <w:t xml:space="preserve">Bestätigung des tatsächlichen Populationsdrucks vom </w:t>
            </w:r>
            <w:r w:rsidRPr="00014300">
              <w:rPr>
                <w:bCs/>
                <w:i/>
                <w:color w:val="0070C0"/>
                <w:kern w:val="32"/>
                <w:lang w:eastAsia="it-IT"/>
              </w:rPr>
              <w:t xml:space="preserve">Diabrotica - </w:t>
            </w:r>
            <w:r w:rsidRPr="00014300">
              <w:rPr>
                <w:bCs/>
                <w:color w:val="0070C0"/>
                <w:kern w:val="32"/>
                <w:lang w:eastAsia="it-IT"/>
              </w:rPr>
              <w:t>Käfermonitoring</w:t>
            </w:r>
          </w:p>
        </w:tc>
        <w:tc>
          <w:tcPr>
            <w:tcW w:w="3620" w:type="dxa"/>
            <w:shd w:val="clear" w:color="auto" w:fill="auto"/>
            <w:vAlign w:val="center"/>
          </w:tcPr>
          <w:p w:rsidR="00723B9B" w:rsidRPr="004A32A4" w:rsidRDefault="00723B9B" w:rsidP="00723B9B">
            <w:pPr>
              <w:pStyle w:val="Tabelle"/>
              <w:rPr>
                <w:bCs/>
                <w:kern w:val="32"/>
                <w:lang w:eastAsia="it-IT"/>
              </w:rPr>
            </w:pPr>
            <w:r w:rsidRPr="004A32A4">
              <w:rPr>
                <w:bCs/>
                <w:kern w:val="32"/>
                <w:lang w:eastAsia="it-IT"/>
              </w:rPr>
              <w:t>Käferdruck bestätigt – in der Region Bad Radkersburg Umgebung konnte erstmalig seit 2012 eine Stagnation der Population bzw. leichte Abnahme festgestellt werden.</w:t>
            </w:r>
          </w:p>
        </w:tc>
        <w:tc>
          <w:tcPr>
            <w:tcW w:w="3405" w:type="dxa"/>
            <w:shd w:val="clear" w:color="auto" w:fill="auto"/>
            <w:vAlign w:val="center"/>
          </w:tcPr>
          <w:p w:rsidR="00723B9B" w:rsidRPr="004A32A4" w:rsidRDefault="00723B9B" w:rsidP="00723B9B">
            <w:pPr>
              <w:pStyle w:val="Tabelle"/>
              <w:rPr>
                <w:bCs/>
                <w:kern w:val="32"/>
                <w:sz w:val="28"/>
                <w:szCs w:val="28"/>
                <w:lang w:eastAsia="it-IT"/>
              </w:rPr>
            </w:pPr>
            <w:r w:rsidRPr="004A32A4">
              <w:rPr>
                <w:bCs/>
                <w:kern w:val="32"/>
                <w:lang w:eastAsia="it-IT"/>
              </w:rPr>
              <w:t>Der Populationsdruck ist in den untersuchten Maisanbaugebieten in der Steiermark massiv gegeben – eine Zunahme der Käferabundanz konnte sowohl in Tirol als auch in der  Steiermark nachgewiesen werden.</w:t>
            </w:r>
          </w:p>
        </w:tc>
        <w:tc>
          <w:tcPr>
            <w:tcW w:w="3405" w:type="dxa"/>
            <w:shd w:val="clear" w:color="auto" w:fill="auto"/>
            <w:vAlign w:val="center"/>
          </w:tcPr>
          <w:p w:rsidR="00723B9B" w:rsidRPr="004A32A4" w:rsidRDefault="00723B9B" w:rsidP="00723B9B">
            <w:pPr>
              <w:pStyle w:val="Tabelle"/>
              <w:rPr>
                <w:bCs/>
                <w:kern w:val="32"/>
                <w:lang w:eastAsia="it-IT"/>
              </w:rPr>
            </w:pPr>
            <w:r w:rsidRPr="004A32A4">
              <w:rPr>
                <w:bCs/>
                <w:kern w:val="32"/>
                <w:lang w:eastAsia="it-IT"/>
              </w:rPr>
              <w:t>Käferdruck weiterhin bestätigt – es konnte wiederum in der Region Bad Radkersburg Umgebung eine signifikante Zunahme festgestellt werden. In Tirol stagnierte der Maiswurzelbohrer-Populationsdruck, wobei eine höchst Signifikante Käferzunahme für die Region im östlichen Teil von Nord-Tirol und in Osttirol nachgewiesen werden konnte.</w:t>
            </w:r>
          </w:p>
        </w:tc>
      </w:tr>
      <w:tr w:rsidR="00723B9B" w:rsidRPr="004A32A4" w:rsidTr="00723B9B">
        <w:trPr>
          <w:trHeight w:val="697"/>
          <w:jc w:val="right"/>
        </w:trPr>
        <w:tc>
          <w:tcPr>
            <w:tcW w:w="2655" w:type="dxa"/>
            <w:shd w:val="clear" w:color="auto" w:fill="auto"/>
            <w:vAlign w:val="center"/>
          </w:tcPr>
          <w:p w:rsidR="00723B9B" w:rsidRPr="00014300" w:rsidRDefault="00723B9B" w:rsidP="00723B9B">
            <w:pPr>
              <w:pStyle w:val="Tabelle"/>
              <w:rPr>
                <w:bCs/>
                <w:color w:val="0070C0"/>
                <w:kern w:val="32"/>
                <w:lang w:eastAsia="it-IT"/>
              </w:rPr>
            </w:pPr>
            <w:r w:rsidRPr="00014300">
              <w:rPr>
                <w:bCs/>
                <w:color w:val="0070C0"/>
                <w:kern w:val="32"/>
                <w:lang w:eastAsia="it-IT"/>
              </w:rPr>
              <w:t>Wirkungsstudie – Austestung der biologischen Wirkstoffe, einzeln und in Kombination, im Feldversuch in der Steiermark</w:t>
            </w:r>
          </w:p>
        </w:tc>
        <w:tc>
          <w:tcPr>
            <w:tcW w:w="3620" w:type="dxa"/>
            <w:shd w:val="clear" w:color="auto" w:fill="auto"/>
            <w:vAlign w:val="center"/>
          </w:tcPr>
          <w:p w:rsidR="00723B9B" w:rsidRPr="004A32A4" w:rsidRDefault="00723B9B" w:rsidP="00723B9B">
            <w:pPr>
              <w:pStyle w:val="Tabelle"/>
              <w:rPr>
                <w:bCs/>
                <w:kern w:val="32"/>
                <w:lang w:eastAsia="it-IT"/>
              </w:rPr>
            </w:pPr>
          </w:p>
        </w:tc>
        <w:tc>
          <w:tcPr>
            <w:tcW w:w="3405" w:type="dxa"/>
            <w:shd w:val="clear" w:color="auto" w:fill="auto"/>
            <w:vAlign w:val="center"/>
          </w:tcPr>
          <w:p w:rsidR="00723B9B" w:rsidRPr="004A32A4" w:rsidRDefault="00723B9B" w:rsidP="00723B9B">
            <w:pPr>
              <w:pStyle w:val="Tabelle"/>
              <w:rPr>
                <w:bCs/>
                <w:kern w:val="32"/>
                <w:lang w:eastAsia="it-IT"/>
              </w:rPr>
            </w:pPr>
          </w:p>
        </w:tc>
        <w:tc>
          <w:tcPr>
            <w:tcW w:w="3405" w:type="dxa"/>
            <w:shd w:val="clear" w:color="auto" w:fill="auto"/>
            <w:vAlign w:val="center"/>
          </w:tcPr>
          <w:p w:rsidR="00723B9B" w:rsidRPr="004A32A4" w:rsidRDefault="00723B9B" w:rsidP="00723B9B">
            <w:pPr>
              <w:pStyle w:val="Tabelle"/>
              <w:rPr>
                <w:bCs/>
                <w:kern w:val="32"/>
                <w:lang w:eastAsia="it-IT"/>
              </w:rPr>
            </w:pPr>
            <w:r w:rsidRPr="004A32A4">
              <w:rPr>
                <w:bCs/>
                <w:kern w:val="32"/>
                <w:lang w:eastAsia="it-IT"/>
              </w:rPr>
              <w:t>Die gemäß EPPO Standard durchgeführte Wirkungsstudie in der Steiermark bestätigt die Ergebnisse von unserer INBIOSOIL Feldstudie (Rauch et al., 2017). Die Anwendung von biologischen Antagonisten (Nematoden, Pilz bzw. die Kombination von beiden Wirkstoffen) ist angesagt. Der alleinige Einsatz von Belem</w:t>
            </w:r>
            <w:r w:rsidRPr="004A32A4">
              <w:rPr>
                <w:bCs/>
                <w:kern w:val="32"/>
                <w:vertAlign w:val="superscript"/>
                <w:lang w:eastAsia="it-IT"/>
              </w:rPr>
              <w:t>®</w:t>
            </w:r>
            <w:r w:rsidRPr="004A32A4">
              <w:rPr>
                <w:bCs/>
                <w:kern w:val="32"/>
                <w:lang w:eastAsia="it-IT"/>
              </w:rPr>
              <w:t>, chemisch synthetisches Bodeninsektizid, muss hinterfragt werden - keine signifikant bessere Wirkung als die geprüften biologischen Wirkstoffe.</w:t>
            </w:r>
          </w:p>
        </w:tc>
      </w:tr>
      <w:tr w:rsidR="00723B9B" w:rsidRPr="004A32A4" w:rsidTr="00723B9B">
        <w:trPr>
          <w:trHeight w:val="697"/>
          <w:jc w:val="right"/>
        </w:trPr>
        <w:tc>
          <w:tcPr>
            <w:tcW w:w="2655" w:type="dxa"/>
            <w:shd w:val="clear" w:color="auto" w:fill="auto"/>
            <w:vAlign w:val="center"/>
          </w:tcPr>
          <w:p w:rsidR="00723B9B" w:rsidRPr="00014300" w:rsidRDefault="00723B9B" w:rsidP="00723B9B">
            <w:pPr>
              <w:pStyle w:val="Tabelle"/>
              <w:rPr>
                <w:bCs/>
                <w:color w:val="0070C0"/>
                <w:kern w:val="32"/>
                <w:lang w:eastAsia="it-IT"/>
              </w:rPr>
            </w:pPr>
            <w:r w:rsidRPr="00014300">
              <w:rPr>
                <w:bCs/>
                <w:color w:val="0070C0"/>
                <w:kern w:val="32"/>
                <w:lang w:eastAsia="it-IT"/>
              </w:rPr>
              <w:t>Pflanzenbonitierung</w:t>
            </w:r>
          </w:p>
        </w:tc>
        <w:tc>
          <w:tcPr>
            <w:tcW w:w="3620" w:type="dxa"/>
            <w:shd w:val="clear" w:color="auto" w:fill="auto"/>
            <w:vAlign w:val="center"/>
          </w:tcPr>
          <w:p w:rsidR="00723B9B" w:rsidRPr="004A32A4" w:rsidRDefault="00723B9B" w:rsidP="00723B9B">
            <w:pPr>
              <w:pStyle w:val="Tabelle"/>
              <w:rPr>
                <w:bCs/>
                <w:kern w:val="32"/>
                <w:lang w:eastAsia="it-IT"/>
              </w:rPr>
            </w:pPr>
            <w:r w:rsidRPr="004A32A4">
              <w:rPr>
                <w:bCs/>
                <w:kern w:val="32"/>
                <w:lang w:eastAsia="it-IT"/>
              </w:rPr>
              <w:t>Wurde am Ende der Maissaison sowohl in Tirol als auch Steiermark durchgeführt.</w:t>
            </w:r>
          </w:p>
          <w:p w:rsidR="00723B9B" w:rsidRPr="004A32A4" w:rsidRDefault="00723B9B" w:rsidP="00723B9B">
            <w:pPr>
              <w:pStyle w:val="Tabelle"/>
              <w:rPr>
                <w:bCs/>
                <w:kern w:val="32"/>
                <w:lang w:eastAsia="it-IT"/>
              </w:rPr>
            </w:pPr>
            <w:r w:rsidRPr="004A32A4">
              <w:rPr>
                <w:bCs/>
                <w:kern w:val="32"/>
                <w:lang w:eastAsia="it-IT"/>
              </w:rPr>
              <w:t>Ergebnis Steiermark:</w:t>
            </w:r>
          </w:p>
          <w:p w:rsidR="00723B9B" w:rsidRPr="004A32A4" w:rsidRDefault="00723B9B" w:rsidP="00723B9B">
            <w:pPr>
              <w:pStyle w:val="Tabelle"/>
              <w:rPr>
                <w:bCs/>
                <w:kern w:val="32"/>
                <w:lang w:eastAsia="it-IT"/>
              </w:rPr>
            </w:pPr>
            <w:r w:rsidRPr="004A32A4">
              <w:rPr>
                <w:bCs/>
                <w:kern w:val="32"/>
                <w:lang w:eastAsia="it-IT"/>
              </w:rPr>
              <w:t>Unbehandeltes Kontrollfeld: &gt; 85 % Lagerung; Behandlungsflächen zeigten keinen, bis nur sehr geringe Schäden auf (d.h. Lagerungsschäden unter 10%).</w:t>
            </w:r>
          </w:p>
          <w:p w:rsidR="00723B9B" w:rsidRPr="004A32A4" w:rsidRDefault="00723B9B" w:rsidP="00723B9B">
            <w:pPr>
              <w:pStyle w:val="Tabelle"/>
              <w:rPr>
                <w:bCs/>
                <w:kern w:val="32"/>
                <w:lang w:eastAsia="it-IT"/>
              </w:rPr>
            </w:pPr>
            <w:r w:rsidRPr="004A32A4">
              <w:rPr>
                <w:bCs/>
                <w:kern w:val="32"/>
                <w:lang w:eastAsia="it-IT"/>
              </w:rPr>
              <w:t>In Tirol wurden keine sichtbaren Schäden nachgewiesen.</w:t>
            </w:r>
          </w:p>
          <w:p w:rsidR="00723B9B" w:rsidRPr="004A32A4" w:rsidRDefault="00723B9B" w:rsidP="00723B9B">
            <w:pPr>
              <w:pStyle w:val="Tabelle"/>
              <w:rPr>
                <w:bCs/>
                <w:kern w:val="32"/>
                <w:lang w:eastAsia="it-IT"/>
              </w:rPr>
            </w:pPr>
          </w:p>
        </w:tc>
        <w:tc>
          <w:tcPr>
            <w:tcW w:w="3405" w:type="dxa"/>
            <w:shd w:val="clear" w:color="auto" w:fill="auto"/>
            <w:vAlign w:val="center"/>
          </w:tcPr>
          <w:p w:rsidR="00723B9B" w:rsidRPr="004A32A4" w:rsidRDefault="00723B9B" w:rsidP="00723B9B">
            <w:pPr>
              <w:pStyle w:val="Tabelle"/>
              <w:rPr>
                <w:bCs/>
                <w:kern w:val="32"/>
                <w:lang w:eastAsia="it-IT"/>
              </w:rPr>
            </w:pPr>
            <w:r w:rsidRPr="004A32A4">
              <w:rPr>
                <w:bCs/>
                <w:kern w:val="32"/>
                <w:lang w:eastAsia="it-IT"/>
              </w:rPr>
              <w:t>Wurde am Ende der Maissaison sowohl in Tirol als auch Steiermark durchgeführt (Steiermark: 29. August, Tirol 14. September).</w:t>
            </w:r>
          </w:p>
          <w:p w:rsidR="00723B9B" w:rsidRPr="004A32A4" w:rsidRDefault="00723B9B" w:rsidP="00723B9B">
            <w:pPr>
              <w:pStyle w:val="Tabelle"/>
              <w:rPr>
                <w:bCs/>
                <w:kern w:val="32"/>
                <w:lang w:eastAsia="it-IT"/>
              </w:rPr>
            </w:pPr>
            <w:r w:rsidRPr="004A32A4">
              <w:rPr>
                <w:bCs/>
                <w:kern w:val="32"/>
                <w:lang w:eastAsia="it-IT"/>
              </w:rPr>
              <w:t>Ergebnis Steiermark:</w:t>
            </w:r>
          </w:p>
          <w:p w:rsidR="00723B9B" w:rsidRPr="004A32A4" w:rsidRDefault="00723B9B" w:rsidP="00723B9B">
            <w:pPr>
              <w:pStyle w:val="Tabelle"/>
              <w:rPr>
                <w:bCs/>
                <w:kern w:val="32"/>
                <w:lang w:eastAsia="it-IT"/>
              </w:rPr>
            </w:pPr>
            <w:r w:rsidRPr="004A32A4">
              <w:rPr>
                <w:bCs/>
                <w:kern w:val="32"/>
                <w:lang w:eastAsia="it-IT"/>
              </w:rPr>
              <w:t>Unbehandeltes Kontrollfeld: &lt; 1 % Lagerung – jedoch starker Kümmerwuchs durch Wasserstress verursacht; Behandlungsflächen waren gemäß Bonitierungsindex stärker geschädigt als im Vorjahr; die Schäden sind jedoch auf massive Trockenheit im Juli/August, gefolgt von hohen Niederschlägen in der zweiten Augusthälfte zurückzuführen.</w:t>
            </w:r>
          </w:p>
          <w:p w:rsidR="00723B9B" w:rsidRPr="004A32A4" w:rsidRDefault="00723B9B" w:rsidP="00723B9B">
            <w:pPr>
              <w:pStyle w:val="Tabelle"/>
              <w:rPr>
                <w:bCs/>
                <w:kern w:val="32"/>
                <w:lang w:eastAsia="it-IT"/>
              </w:rPr>
            </w:pPr>
            <w:r w:rsidRPr="004A32A4">
              <w:rPr>
                <w:bCs/>
                <w:kern w:val="32"/>
                <w:lang w:eastAsia="it-IT"/>
              </w:rPr>
              <w:t>In Tirol wurden keine sichtbaren Schäden nachgewiesen.</w:t>
            </w:r>
          </w:p>
        </w:tc>
        <w:tc>
          <w:tcPr>
            <w:tcW w:w="3405" w:type="dxa"/>
            <w:shd w:val="clear" w:color="auto" w:fill="auto"/>
            <w:vAlign w:val="center"/>
          </w:tcPr>
          <w:p w:rsidR="00723B9B" w:rsidRPr="004A32A4" w:rsidRDefault="00723B9B" w:rsidP="00723B9B">
            <w:pPr>
              <w:pStyle w:val="Tabelle"/>
              <w:rPr>
                <w:bCs/>
                <w:kern w:val="32"/>
                <w:lang w:eastAsia="it-IT"/>
              </w:rPr>
            </w:pPr>
            <w:r w:rsidRPr="004A32A4">
              <w:rPr>
                <w:bCs/>
                <w:kern w:val="32"/>
                <w:lang w:eastAsia="it-IT"/>
              </w:rPr>
              <w:t>Wurde im September, am Ende der Maissaison, sowohl in Tirol als auch Steiermark durchgeführt. Aufgrund der günstigen Witterungsverhältnisse (d.h. niederschlagsreich und warm), konnten keine Schäden, sowohl am Wurzelwerk der Pflanze (Node – Injury Scale Auswertung), als auch an der Pflanze selbst, festgestellt werden. Erträge entsprechen den pflanzenbaulichen Erwartungen der Landwirte.</w:t>
            </w:r>
          </w:p>
        </w:tc>
      </w:tr>
      <w:tr w:rsidR="00723B9B" w:rsidRPr="004A32A4" w:rsidTr="00723B9B">
        <w:trPr>
          <w:trHeight w:val="1145"/>
          <w:jc w:val="right"/>
        </w:trPr>
        <w:tc>
          <w:tcPr>
            <w:tcW w:w="2655" w:type="dxa"/>
            <w:shd w:val="clear" w:color="auto" w:fill="auto"/>
            <w:vAlign w:val="center"/>
          </w:tcPr>
          <w:p w:rsidR="00723B9B" w:rsidRPr="00014300" w:rsidRDefault="00723B9B" w:rsidP="00723B9B">
            <w:pPr>
              <w:pStyle w:val="Tabelle"/>
              <w:rPr>
                <w:bCs/>
                <w:color w:val="0070C0"/>
                <w:kern w:val="32"/>
                <w:lang w:eastAsia="it-IT"/>
              </w:rPr>
            </w:pPr>
            <w:r w:rsidRPr="00014300">
              <w:rPr>
                <w:bCs/>
                <w:color w:val="0070C0"/>
                <w:kern w:val="32"/>
                <w:lang w:eastAsia="it-IT"/>
              </w:rPr>
              <w:t>Käferdichte von unter einem Käfer pro Pflanze?</w:t>
            </w:r>
          </w:p>
        </w:tc>
        <w:tc>
          <w:tcPr>
            <w:tcW w:w="3620" w:type="dxa"/>
            <w:shd w:val="clear" w:color="auto" w:fill="auto"/>
            <w:vAlign w:val="center"/>
          </w:tcPr>
          <w:p w:rsidR="00723B9B" w:rsidRPr="004A32A4" w:rsidRDefault="00723B9B" w:rsidP="00723B9B">
            <w:pPr>
              <w:pStyle w:val="Tabelle"/>
              <w:rPr>
                <w:bCs/>
                <w:kern w:val="32"/>
                <w:lang w:eastAsia="it-IT"/>
              </w:rPr>
            </w:pPr>
            <w:r w:rsidRPr="004A32A4">
              <w:rPr>
                <w:bCs/>
                <w:kern w:val="32"/>
                <w:lang w:eastAsia="it-IT"/>
              </w:rPr>
              <w:t>Käferdichte ist viel höher als publizierte Indexzahlen (&lt; 1 Käfer pro Pflanze im Erhebungszeitraum von zwei Wochen). Aufgrund der geringen Maisschäden in der Steiermark muss und soll die Indexzahl im Rahmen des DIACONT Projektes neu definiert werden.</w:t>
            </w:r>
          </w:p>
        </w:tc>
        <w:tc>
          <w:tcPr>
            <w:tcW w:w="3405" w:type="dxa"/>
            <w:shd w:val="clear" w:color="auto" w:fill="auto"/>
            <w:vAlign w:val="center"/>
          </w:tcPr>
          <w:p w:rsidR="00723B9B" w:rsidRPr="004A32A4" w:rsidRDefault="00723B9B" w:rsidP="00723B9B">
            <w:pPr>
              <w:pStyle w:val="Tabelle"/>
              <w:rPr>
                <w:bCs/>
                <w:kern w:val="32"/>
                <w:lang w:eastAsia="it-IT"/>
              </w:rPr>
            </w:pPr>
            <w:r w:rsidRPr="004A32A4">
              <w:rPr>
                <w:bCs/>
                <w:kern w:val="32"/>
                <w:lang w:eastAsia="it-IT"/>
              </w:rPr>
              <w:t>Käferdichte ist viel höher als publizierte Indexzahl (Ø 10 Käfer pro Pflanze).</w:t>
            </w:r>
          </w:p>
          <w:p w:rsidR="00723B9B" w:rsidRPr="004A32A4" w:rsidRDefault="00723B9B" w:rsidP="00723B9B">
            <w:pPr>
              <w:pStyle w:val="Tabelle"/>
              <w:rPr>
                <w:bCs/>
                <w:kern w:val="32"/>
                <w:lang w:eastAsia="it-IT"/>
              </w:rPr>
            </w:pPr>
            <w:r w:rsidRPr="004A32A4">
              <w:rPr>
                <w:bCs/>
                <w:kern w:val="32"/>
                <w:lang w:eastAsia="it-IT"/>
              </w:rPr>
              <w:t>Auswertung noch nicht abgeschlossen.</w:t>
            </w:r>
          </w:p>
        </w:tc>
        <w:tc>
          <w:tcPr>
            <w:tcW w:w="3405" w:type="dxa"/>
            <w:shd w:val="clear" w:color="auto" w:fill="auto"/>
            <w:vAlign w:val="center"/>
          </w:tcPr>
          <w:p w:rsidR="00723B9B" w:rsidRPr="004A32A4" w:rsidRDefault="00723B9B" w:rsidP="00723B9B">
            <w:pPr>
              <w:pStyle w:val="Tabelle"/>
              <w:rPr>
                <w:bCs/>
                <w:kern w:val="32"/>
                <w:lang w:eastAsia="it-IT"/>
              </w:rPr>
            </w:pPr>
            <w:r w:rsidRPr="004A32A4">
              <w:rPr>
                <w:bCs/>
                <w:kern w:val="32"/>
                <w:lang w:eastAsia="it-IT"/>
              </w:rPr>
              <w:t>Käferdichte ist viel höher als publizierte Indexzahl (Ø 10 Käfer pro Pflanze = 50 - 70 Käfer m</w:t>
            </w:r>
            <w:r w:rsidRPr="004A32A4">
              <w:rPr>
                <w:bCs/>
                <w:kern w:val="32"/>
                <w:vertAlign w:val="superscript"/>
                <w:lang w:eastAsia="it-IT"/>
              </w:rPr>
              <w:t>-2</w:t>
            </w:r>
            <w:r w:rsidRPr="004A32A4">
              <w:rPr>
                <w:bCs/>
                <w:kern w:val="32"/>
                <w:lang w:eastAsia="it-IT"/>
              </w:rPr>
              <w:t xml:space="preserve">).  Die Ertragsverluste halten sich jedoch in Grenzen – trotz hoher Käferzahl konnten heuer keine gravierenden Schäden in all den Behandlungsflächen, aber auch Kontrollflächen, festgestellt werden - Ausnahme Fläche Rosschädl. </w:t>
            </w:r>
          </w:p>
        </w:tc>
      </w:tr>
      <w:tr w:rsidR="00723B9B" w:rsidRPr="004A32A4" w:rsidTr="00723B9B">
        <w:trPr>
          <w:trHeight w:val="1891"/>
          <w:jc w:val="right"/>
        </w:trPr>
        <w:tc>
          <w:tcPr>
            <w:tcW w:w="2655" w:type="dxa"/>
            <w:shd w:val="clear" w:color="auto" w:fill="auto"/>
            <w:vAlign w:val="center"/>
          </w:tcPr>
          <w:p w:rsidR="00723B9B" w:rsidRPr="00014300" w:rsidRDefault="00723B9B" w:rsidP="00723B9B">
            <w:pPr>
              <w:pStyle w:val="Tabelle"/>
              <w:rPr>
                <w:bCs/>
                <w:color w:val="0070C0"/>
                <w:kern w:val="32"/>
                <w:lang w:eastAsia="it-IT"/>
              </w:rPr>
            </w:pPr>
            <w:r w:rsidRPr="00014300">
              <w:rPr>
                <w:bCs/>
                <w:color w:val="0070C0"/>
                <w:kern w:val="32"/>
                <w:lang w:eastAsia="it-IT"/>
              </w:rPr>
              <w:t>Weiterentwicklung des Wirkstoffes GranMet</w:t>
            </w:r>
            <w:r w:rsidRPr="00014300">
              <w:rPr>
                <w:bCs/>
                <w:color w:val="0070C0"/>
                <w:kern w:val="32"/>
                <w:vertAlign w:val="superscript"/>
                <w:lang w:eastAsia="it-IT"/>
              </w:rPr>
              <w:t>®</w:t>
            </w:r>
            <w:r w:rsidRPr="00014300">
              <w:rPr>
                <w:bCs/>
                <w:color w:val="0070C0"/>
                <w:kern w:val="32"/>
                <w:lang w:eastAsia="it-IT"/>
              </w:rPr>
              <w:t xml:space="preserve"> zum präventiven Agens gegen </w:t>
            </w:r>
            <w:r w:rsidRPr="00014300">
              <w:rPr>
                <w:bCs/>
                <w:i/>
                <w:color w:val="0070C0"/>
                <w:kern w:val="32"/>
                <w:lang w:eastAsia="it-IT"/>
              </w:rPr>
              <w:t>Diabrotica.</w:t>
            </w:r>
          </w:p>
        </w:tc>
        <w:tc>
          <w:tcPr>
            <w:tcW w:w="3620" w:type="dxa"/>
            <w:shd w:val="clear" w:color="auto" w:fill="auto"/>
            <w:vAlign w:val="center"/>
          </w:tcPr>
          <w:p w:rsidR="00723B9B" w:rsidRPr="004A32A4" w:rsidRDefault="00723B9B" w:rsidP="00723B9B">
            <w:pPr>
              <w:pStyle w:val="Tabelle"/>
              <w:rPr>
                <w:bCs/>
                <w:kern w:val="32"/>
                <w:sz w:val="28"/>
                <w:szCs w:val="28"/>
                <w:lang w:eastAsia="it-IT"/>
              </w:rPr>
            </w:pPr>
          </w:p>
        </w:tc>
        <w:tc>
          <w:tcPr>
            <w:tcW w:w="3405" w:type="dxa"/>
            <w:shd w:val="clear" w:color="auto" w:fill="auto"/>
            <w:vAlign w:val="center"/>
          </w:tcPr>
          <w:p w:rsidR="00723B9B" w:rsidRPr="004A32A4" w:rsidRDefault="00723B9B" w:rsidP="00723B9B">
            <w:pPr>
              <w:pStyle w:val="Tabelle"/>
              <w:rPr>
                <w:bCs/>
                <w:kern w:val="32"/>
                <w:sz w:val="28"/>
                <w:szCs w:val="28"/>
                <w:lang w:eastAsia="it-IT"/>
              </w:rPr>
            </w:pPr>
            <w:r w:rsidRPr="004A32A4">
              <w:rPr>
                <w:bCs/>
                <w:kern w:val="32"/>
                <w:lang w:eastAsia="it-IT"/>
              </w:rPr>
              <w:t>Qualitätssicherungsarbeiten (z.B. 5 batch Analysen) wurden</w:t>
            </w:r>
            <w:r w:rsidRPr="004A32A4">
              <w:rPr>
                <w:bCs/>
                <w:kern w:val="32"/>
                <w:sz w:val="28"/>
                <w:szCs w:val="28"/>
                <w:lang w:eastAsia="it-IT"/>
              </w:rPr>
              <w:t xml:space="preserve"> </w:t>
            </w:r>
            <w:r w:rsidRPr="004A32A4">
              <w:rPr>
                <w:bCs/>
                <w:kern w:val="32"/>
                <w:lang w:eastAsia="it-IT"/>
              </w:rPr>
              <w:t xml:space="preserve">durchgeführt und konnte u.a. die Virulenz des Produktionsstammes bestätigen. Die Ergebnisse werden die laufende Re-Registrierung von </w:t>
            </w:r>
            <w:r w:rsidRPr="004A32A4">
              <w:rPr>
                <w:bCs/>
                <w:i/>
                <w:kern w:val="32"/>
                <w:lang w:eastAsia="it-IT"/>
              </w:rPr>
              <w:t>M. brunneum</w:t>
            </w:r>
            <w:r w:rsidRPr="004A32A4">
              <w:rPr>
                <w:bCs/>
                <w:kern w:val="32"/>
                <w:lang w:eastAsia="it-IT"/>
              </w:rPr>
              <w:t xml:space="preserve"> BIPESCO 5 unterstützen (supplementary dossier for the renewal of </w:t>
            </w:r>
            <w:r w:rsidRPr="004A32A4">
              <w:rPr>
                <w:bCs/>
                <w:i/>
                <w:kern w:val="32"/>
                <w:lang w:eastAsia="it-IT"/>
              </w:rPr>
              <w:t>Metarhizium brunneum</w:t>
            </w:r>
            <w:r w:rsidRPr="004A32A4">
              <w:rPr>
                <w:bCs/>
                <w:kern w:val="32"/>
                <w:lang w:eastAsia="it-IT"/>
              </w:rPr>
              <w:t xml:space="preserve"> BIPESCO 5, previously designated as Metarhizium anisopliae var. anisopliae BIPESCO 5 as an active substance under Regulation 1107/2009).</w:t>
            </w:r>
          </w:p>
        </w:tc>
        <w:tc>
          <w:tcPr>
            <w:tcW w:w="3405" w:type="dxa"/>
            <w:shd w:val="clear" w:color="auto" w:fill="auto"/>
            <w:vAlign w:val="center"/>
          </w:tcPr>
          <w:p w:rsidR="00723B9B" w:rsidRPr="004A32A4" w:rsidRDefault="00723B9B" w:rsidP="00723B9B">
            <w:pPr>
              <w:pStyle w:val="Tabelle"/>
              <w:rPr>
                <w:bCs/>
                <w:kern w:val="32"/>
                <w:lang w:eastAsia="it-IT"/>
              </w:rPr>
            </w:pPr>
            <w:r w:rsidRPr="004A32A4">
              <w:rPr>
                <w:bCs/>
                <w:kern w:val="32"/>
                <w:lang w:eastAsia="it-IT"/>
              </w:rPr>
              <w:t>Die Qualitätssicherungsarbeiten bezüglich des Produktes GranMet</w:t>
            </w:r>
            <w:r w:rsidRPr="004A32A4">
              <w:rPr>
                <w:bCs/>
                <w:kern w:val="32"/>
                <w:vertAlign w:val="superscript"/>
                <w:lang w:eastAsia="it-IT"/>
              </w:rPr>
              <w:t xml:space="preserve">® </w:t>
            </w:r>
            <w:r w:rsidRPr="004A32A4">
              <w:rPr>
                <w:bCs/>
                <w:kern w:val="32"/>
                <w:lang w:eastAsia="it-IT"/>
              </w:rPr>
              <w:t xml:space="preserve"> wurden im Projektjahr 2018  fortgesetzt.</w:t>
            </w:r>
          </w:p>
          <w:p w:rsidR="00723B9B" w:rsidRPr="004A32A4" w:rsidRDefault="00723B9B" w:rsidP="00723B9B">
            <w:pPr>
              <w:pStyle w:val="Tabelle"/>
              <w:rPr>
                <w:bCs/>
                <w:kern w:val="32"/>
                <w:lang w:eastAsia="it-IT"/>
              </w:rPr>
            </w:pPr>
            <w:r w:rsidRPr="004A32A4">
              <w:rPr>
                <w:bCs/>
                <w:kern w:val="32"/>
                <w:lang w:eastAsia="it-IT"/>
              </w:rPr>
              <w:t xml:space="preserve">Der Bedarf einer ganzheitlichen biologischen Bekämpfung von </w:t>
            </w:r>
            <w:r w:rsidRPr="004A32A4">
              <w:rPr>
                <w:bCs/>
                <w:i/>
                <w:kern w:val="32"/>
                <w:lang w:eastAsia="it-IT"/>
              </w:rPr>
              <w:t xml:space="preserve">Diabrotica </w:t>
            </w:r>
            <w:r w:rsidRPr="004A32A4">
              <w:rPr>
                <w:bCs/>
                <w:kern w:val="32"/>
                <w:lang w:eastAsia="it-IT"/>
              </w:rPr>
              <w:t>ist angesagt und könnte durch eine oberirdisch angewandte Sprühapplikation, mit Hilfe von Stelzentraktoren, sichergestellt werden. Ein diesbezüglicher Antrag soll noch im  Jänner 2019 als DAFNe Antrag eingereicht werden.</w:t>
            </w:r>
          </w:p>
        </w:tc>
      </w:tr>
      <w:tr w:rsidR="00723B9B" w:rsidRPr="004A32A4" w:rsidTr="00723B9B">
        <w:trPr>
          <w:trHeight w:val="1145"/>
          <w:jc w:val="right"/>
        </w:trPr>
        <w:tc>
          <w:tcPr>
            <w:tcW w:w="2655" w:type="dxa"/>
            <w:shd w:val="clear" w:color="auto" w:fill="auto"/>
            <w:vAlign w:val="center"/>
          </w:tcPr>
          <w:p w:rsidR="00723B9B" w:rsidRPr="00014300" w:rsidRDefault="00723B9B" w:rsidP="00723B9B">
            <w:pPr>
              <w:pStyle w:val="Tabelle"/>
              <w:rPr>
                <w:bCs/>
                <w:color w:val="0070C0"/>
                <w:kern w:val="32"/>
                <w:lang w:eastAsia="it-IT"/>
              </w:rPr>
            </w:pPr>
            <w:r w:rsidRPr="00014300">
              <w:rPr>
                <w:bCs/>
                <w:color w:val="0070C0"/>
                <w:kern w:val="32"/>
                <w:lang w:eastAsia="it-IT"/>
              </w:rPr>
              <w:t xml:space="preserve">Versuch unternommen, auf Grundlage der EU-Verordnung (1107/2009), schon 2017 ein registriertes </w:t>
            </w:r>
            <w:r w:rsidRPr="00014300">
              <w:rPr>
                <w:bCs/>
                <w:i/>
                <w:color w:val="0070C0"/>
                <w:kern w:val="32"/>
                <w:lang w:eastAsia="it-IT"/>
              </w:rPr>
              <w:t>Metarhizium</w:t>
            </w:r>
            <w:r w:rsidRPr="00014300">
              <w:rPr>
                <w:bCs/>
                <w:color w:val="0070C0"/>
                <w:kern w:val="32"/>
                <w:lang w:eastAsia="it-IT"/>
              </w:rPr>
              <w:t>-Präparat auf den Markt zu bringen?</w:t>
            </w:r>
          </w:p>
        </w:tc>
        <w:tc>
          <w:tcPr>
            <w:tcW w:w="3620" w:type="dxa"/>
            <w:shd w:val="clear" w:color="auto" w:fill="auto"/>
            <w:vAlign w:val="center"/>
          </w:tcPr>
          <w:p w:rsidR="00723B9B" w:rsidRPr="004A32A4" w:rsidRDefault="00723B9B" w:rsidP="00723B9B">
            <w:pPr>
              <w:pStyle w:val="Tabelle"/>
              <w:rPr>
                <w:bCs/>
                <w:kern w:val="32"/>
                <w:sz w:val="28"/>
                <w:szCs w:val="28"/>
                <w:lang w:eastAsia="it-IT"/>
              </w:rPr>
            </w:pPr>
            <w:r w:rsidRPr="004A32A4">
              <w:rPr>
                <w:bCs/>
                <w:kern w:val="32"/>
                <w:sz w:val="24"/>
                <w:szCs w:val="24"/>
                <w:lang w:eastAsia="it-IT"/>
              </w:rPr>
              <w:t xml:space="preserve">Antrag wurde von AGES mit Schreiben vom 22.03.2017 wegen des fehlenden </w:t>
            </w:r>
            <w:r w:rsidRPr="004A32A4">
              <w:rPr>
                <w:rFonts w:ascii="Calibri" w:hAnsi="Calibri"/>
                <w:sz w:val="22"/>
                <w:szCs w:val="22"/>
              </w:rPr>
              <w:fldChar w:fldCharType="begin"/>
            </w:r>
            <w:r w:rsidRPr="004A32A4">
              <w:rPr>
                <w:rFonts w:ascii="MetaCorr" w:hAnsi="MetaCorr"/>
                <w:sz w:val="24"/>
                <w:szCs w:val="24"/>
              </w:rPr>
              <w:instrText>PAGE   \* MERGEFORMAT</w:instrText>
            </w:r>
            <w:r w:rsidRPr="004A32A4">
              <w:rPr>
                <w:rFonts w:ascii="Calibri" w:hAnsi="Calibri"/>
                <w:sz w:val="22"/>
                <w:szCs w:val="22"/>
              </w:rPr>
              <w:fldChar w:fldCharType="separate"/>
            </w:r>
            <w:r>
              <w:rPr>
                <w:rFonts w:ascii="MetaCorr" w:hAnsi="MetaCorr"/>
                <w:noProof/>
                <w:sz w:val="24"/>
                <w:szCs w:val="24"/>
              </w:rPr>
              <w:t>54</w:t>
            </w:r>
            <w:r w:rsidRPr="004A32A4">
              <w:rPr>
                <w:rFonts w:ascii="Calibri" w:hAnsi="Calibri"/>
                <w:sz w:val="22"/>
                <w:szCs w:val="22"/>
              </w:rPr>
              <w:fldChar w:fldCharType="end"/>
            </w:r>
            <w:r w:rsidRPr="004A32A4">
              <w:rPr>
                <w:bCs/>
                <w:kern w:val="32"/>
                <w:sz w:val="24"/>
                <w:szCs w:val="24"/>
                <w:lang w:eastAsia="it-IT"/>
              </w:rPr>
              <w:t>Bedarfs abgelehnt</w:t>
            </w:r>
          </w:p>
        </w:tc>
        <w:tc>
          <w:tcPr>
            <w:tcW w:w="3405" w:type="dxa"/>
            <w:shd w:val="clear" w:color="auto" w:fill="auto"/>
            <w:vAlign w:val="center"/>
          </w:tcPr>
          <w:p w:rsidR="00723B9B" w:rsidRPr="004A32A4" w:rsidRDefault="00723B9B" w:rsidP="00723B9B">
            <w:pPr>
              <w:pStyle w:val="Tabelle"/>
              <w:rPr>
                <w:bCs/>
                <w:kern w:val="32"/>
                <w:sz w:val="28"/>
                <w:szCs w:val="28"/>
                <w:lang w:eastAsia="it-IT"/>
              </w:rPr>
            </w:pPr>
            <w:r w:rsidRPr="004A32A4">
              <w:rPr>
                <w:bCs/>
                <w:kern w:val="32"/>
                <w:lang w:eastAsia="it-IT"/>
              </w:rPr>
              <w:t>Antrag wird vorbereitet und soll im Winter 2017/18, nach einer erfolgten Bedarfserhebung bei der zuständigen Behörde AGES von einer österreichischen Firma eingereicht werden. Wurde ebenfalls abgelehnt.</w:t>
            </w:r>
          </w:p>
        </w:tc>
        <w:tc>
          <w:tcPr>
            <w:tcW w:w="3405" w:type="dxa"/>
            <w:shd w:val="clear" w:color="auto" w:fill="auto"/>
            <w:vAlign w:val="center"/>
          </w:tcPr>
          <w:p w:rsidR="00723B9B" w:rsidRPr="004A32A4" w:rsidRDefault="00723B9B" w:rsidP="00723B9B">
            <w:pPr>
              <w:pStyle w:val="Tabelle"/>
              <w:rPr>
                <w:bCs/>
                <w:kern w:val="32"/>
                <w:lang w:eastAsia="it-IT"/>
              </w:rPr>
            </w:pPr>
            <w:r w:rsidRPr="004A32A4">
              <w:rPr>
                <w:bCs/>
                <w:kern w:val="32"/>
                <w:lang w:eastAsia="it-IT"/>
              </w:rPr>
              <w:t>Antrag wurde wiederum für 2018 gestellt und von der AGES abgelehnt, da sich keiner, der Maiswurzelbohrer geschädigten Landwirte bzw. deren Vertreter und Berater, für den Einsatz des entomopathogenen Pilzproduktes GranMet</w:t>
            </w:r>
            <w:r w:rsidRPr="004A32A4">
              <w:rPr>
                <w:bCs/>
                <w:kern w:val="32"/>
                <w:vertAlign w:val="superscript"/>
                <w:lang w:eastAsia="it-IT"/>
              </w:rPr>
              <w:t>TM</w:t>
            </w:r>
            <w:r w:rsidRPr="004A32A4">
              <w:rPr>
                <w:bCs/>
                <w:kern w:val="32"/>
                <w:lang w:eastAsia="it-IT"/>
              </w:rPr>
              <w:t xml:space="preserve"> stark gemacht hat. Eine konkrete Bedarfserhebung wird gerade imitiert. Gemäß Bedarfsmeldung durch Landwirtschaftsberater (d.h. Kammervertreter) soll eine Notfallszu</w:t>
            </w:r>
            <w:r>
              <w:rPr>
                <w:bCs/>
                <w:kern w:val="32"/>
                <w:lang w:eastAsia="it-IT"/>
              </w:rPr>
              <w:t>lassung erteilt werden können..</w:t>
            </w:r>
          </w:p>
        </w:tc>
      </w:tr>
    </w:tbl>
    <w:p w:rsidR="00723B9B" w:rsidRPr="004A32A4" w:rsidRDefault="00723B9B" w:rsidP="00723B9B">
      <w:pPr>
        <w:spacing w:before="270" w:line="270" w:lineRule="exact"/>
        <w:rPr>
          <w:rFonts w:eastAsia="Times New Roman"/>
          <w:color w:val="000000"/>
        </w:rPr>
        <w:sectPr w:rsidR="00723B9B" w:rsidRPr="004A32A4" w:rsidSect="00723B9B">
          <w:pgSz w:w="16838" w:h="11906" w:orient="landscape"/>
          <w:pgMar w:top="1134" w:right="1418" w:bottom="1418" w:left="1134" w:header="709" w:footer="709" w:gutter="0"/>
          <w:cols w:space="708"/>
          <w:docGrid w:linePitch="360"/>
        </w:sectPr>
      </w:pPr>
    </w:p>
    <w:p w:rsidR="00B95008" w:rsidRDefault="008E01DE" w:rsidP="008E01DE">
      <w:pPr>
        <w:pStyle w:val="Flietext"/>
        <w:tabs>
          <w:tab w:val="left" w:pos="3577"/>
        </w:tabs>
      </w:pPr>
      <w:r>
        <w:tab/>
      </w:r>
    </w:p>
    <w:p w:rsidR="00F000C6" w:rsidRDefault="00B95008" w:rsidP="00335D37">
      <w:pPr>
        <w:pStyle w:val="berschrift118pt"/>
      </w:pPr>
      <w:bookmarkStart w:id="417" w:name="_Toc7715670"/>
      <w:r>
        <w:t>Tabellen</w:t>
      </w:r>
      <w:r w:rsidR="00F000C6">
        <w:t>verzeichnis</w:t>
      </w:r>
      <w:bookmarkEnd w:id="417"/>
    </w:p>
    <w:p w:rsidR="00871DEE" w:rsidRDefault="001552E7">
      <w:pPr>
        <w:pStyle w:val="Abbildungsverzeichnis"/>
        <w:tabs>
          <w:tab w:val="right" w:leader="dot" w:pos="9168"/>
        </w:tabs>
        <w:rPr>
          <w:rFonts w:asciiTheme="minorHAnsi" w:hAnsiTheme="minorHAnsi" w:cstheme="minorBidi"/>
          <w:noProof/>
          <w:sz w:val="22"/>
          <w:szCs w:val="22"/>
          <w:lang w:val="de-DE" w:eastAsia="de-DE"/>
        </w:rPr>
      </w:pPr>
      <w:r>
        <w:rPr>
          <w:rFonts w:eastAsia="Times New Roman" w:cstheme="majorBidi"/>
          <w:caps/>
          <w:color w:val="1F6BAE"/>
          <w:sz w:val="36"/>
        </w:rPr>
        <w:fldChar w:fldCharType="begin"/>
      </w:r>
      <w:r>
        <w:rPr>
          <w:rFonts w:eastAsia="Times New Roman" w:cstheme="majorBidi"/>
          <w:caps/>
          <w:color w:val="1F6BAE"/>
          <w:sz w:val="36"/>
        </w:rPr>
        <w:instrText xml:space="preserve"> TOC \c "Tabelle" </w:instrText>
      </w:r>
      <w:r>
        <w:rPr>
          <w:rFonts w:eastAsia="Times New Roman" w:cstheme="majorBidi"/>
          <w:caps/>
          <w:color w:val="1F6BAE"/>
          <w:sz w:val="36"/>
        </w:rPr>
        <w:fldChar w:fldCharType="separate"/>
      </w:r>
      <w:r w:rsidR="00871DEE">
        <w:rPr>
          <w:noProof/>
        </w:rPr>
        <w:t>Tabelle 1: Fallenstandorte in Oberndorf und St. Johann in Tirol (Koordinaten, Länge und Breite)</w:t>
      </w:r>
      <w:r w:rsidR="00871DEE">
        <w:rPr>
          <w:noProof/>
        </w:rPr>
        <w:tab/>
      </w:r>
      <w:r w:rsidR="00871DEE">
        <w:rPr>
          <w:noProof/>
        </w:rPr>
        <w:fldChar w:fldCharType="begin"/>
      </w:r>
      <w:r w:rsidR="00871DEE">
        <w:rPr>
          <w:noProof/>
        </w:rPr>
        <w:instrText xml:space="preserve"> PAGEREF _Toc7715382 \h </w:instrText>
      </w:r>
      <w:r w:rsidR="00871DEE">
        <w:rPr>
          <w:noProof/>
        </w:rPr>
      </w:r>
      <w:r w:rsidR="00871DEE">
        <w:rPr>
          <w:noProof/>
        </w:rPr>
        <w:fldChar w:fldCharType="separate"/>
      </w:r>
      <w:r w:rsidR="00871DEE">
        <w:rPr>
          <w:noProof/>
        </w:rPr>
        <w:t>14</w:t>
      </w:r>
      <w:r w:rsidR="00871DEE">
        <w:rPr>
          <w:noProof/>
        </w:rPr>
        <w:fldChar w:fldCharType="end"/>
      </w:r>
    </w:p>
    <w:p w:rsidR="00871DEE" w:rsidRDefault="00871DEE">
      <w:pPr>
        <w:pStyle w:val="Abbildungsverzeichnis"/>
        <w:tabs>
          <w:tab w:val="right" w:leader="dot" w:pos="9168"/>
        </w:tabs>
        <w:rPr>
          <w:rFonts w:asciiTheme="minorHAnsi" w:hAnsiTheme="minorHAnsi" w:cstheme="minorBidi"/>
          <w:noProof/>
          <w:sz w:val="22"/>
          <w:szCs w:val="22"/>
          <w:lang w:val="de-DE" w:eastAsia="de-DE"/>
        </w:rPr>
      </w:pPr>
      <w:r>
        <w:rPr>
          <w:noProof/>
        </w:rPr>
        <w:t>Tabelle 2: Bewertung der Gänsehalssymptome nach Neigunsintesität/Klassen (Foltin et al., 2014)</w:t>
      </w:r>
      <w:r>
        <w:rPr>
          <w:noProof/>
        </w:rPr>
        <w:tab/>
      </w:r>
      <w:r>
        <w:rPr>
          <w:noProof/>
        </w:rPr>
        <w:fldChar w:fldCharType="begin"/>
      </w:r>
      <w:r>
        <w:rPr>
          <w:noProof/>
        </w:rPr>
        <w:instrText xml:space="preserve"> PAGEREF _Toc7715383 \h </w:instrText>
      </w:r>
      <w:r>
        <w:rPr>
          <w:noProof/>
        </w:rPr>
      </w:r>
      <w:r>
        <w:rPr>
          <w:noProof/>
        </w:rPr>
        <w:fldChar w:fldCharType="separate"/>
      </w:r>
      <w:r>
        <w:rPr>
          <w:noProof/>
        </w:rPr>
        <w:t>14</w:t>
      </w:r>
      <w:r>
        <w:rPr>
          <w:noProof/>
        </w:rPr>
        <w:fldChar w:fldCharType="end"/>
      </w:r>
    </w:p>
    <w:p w:rsidR="00871DEE" w:rsidRDefault="00871DEE">
      <w:pPr>
        <w:pStyle w:val="Abbildungsverzeichnis"/>
        <w:tabs>
          <w:tab w:val="right" w:leader="dot" w:pos="9168"/>
        </w:tabs>
        <w:rPr>
          <w:rFonts w:asciiTheme="minorHAnsi" w:hAnsiTheme="minorHAnsi" w:cstheme="minorBidi"/>
          <w:noProof/>
          <w:sz w:val="22"/>
          <w:szCs w:val="22"/>
          <w:lang w:val="de-DE" w:eastAsia="de-DE"/>
        </w:rPr>
      </w:pPr>
      <w:r>
        <w:rPr>
          <w:noProof/>
        </w:rPr>
        <w:t>Tabelle 3: Rücksiolation des GranMet</w:t>
      </w:r>
      <w:r w:rsidRPr="005139DE">
        <w:rPr>
          <w:noProof/>
          <w:vertAlign w:val="superscript"/>
        </w:rPr>
        <w:t>TM</w:t>
      </w:r>
      <w:r>
        <w:rPr>
          <w:noProof/>
        </w:rPr>
        <w:t xml:space="preserve">  Produktionsstammes BIPESCO 5 (angegeben in Prozent), und Anzahl der verschiedenen </w:t>
      </w:r>
      <w:r w:rsidRPr="005139DE">
        <w:rPr>
          <w:i/>
          <w:noProof/>
        </w:rPr>
        <w:t xml:space="preserve">Metarhizium </w:t>
      </w:r>
      <w:r>
        <w:rPr>
          <w:noProof/>
        </w:rPr>
        <w:t>Genotypen, welche in den Versuchstandorten in der Steiermark (Dietzen und Laafeld) und in Tirol (Burgenfeld und Kramat) im Juni und September 2017 isoliert wurden.</w:t>
      </w:r>
      <w:r>
        <w:rPr>
          <w:noProof/>
        </w:rPr>
        <w:tab/>
      </w:r>
      <w:r>
        <w:rPr>
          <w:noProof/>
        </w:rPr>
        <w:fldChar w:fldCharType="begin"/>
      </w:r>
      <w:r>
        <w:rPr>
          <w:noProof/>
        </w:rPr>
        <w:instrText xml:space="preserve"> PAGEREF _Toc7715384 \h </w:instrText>
      </w:r>
      <w:r>
        <w:rPr>
          <w:noProof/>
        </w:rPr>
      </w:r>
      <w:r>
        <w:rPr>
          <w:noProof/>
        </w:rPr>
        <w:fldChar w:fldCharType="separate"/>
      </w:r>
      <w:r>
        <w:rPr>
          <w:noProof/>
        </w:rPr>
        <w:t>25</w:t>
      </w:r>
      <w:r>
        <w:rPr>
          <w:noProof/>
        </w:rPr>
        <w:fldChar w:fldCharType="end"/>
      </w:r>
    </w:p>
    <w:p w:rsidR="00871DEE" w:rsidRDefault="00871DEE">
      <w:pPr>
        <w:pStyle w:val="Abbildungsverzeichnis"/>
        <w:tabs>
          <w:tab w:val="right" w:leader="dot" w:pos="9168"/>
        </w:tabs>
        <w:rPr>
          <w:rFonts w:asciiTheme="minorHAnsi" w:hAnsiTheme="minorHAnsi" w:cstheme="minorBidi"/>
          <w:noProof/>
          <w:sz w:val="22"/>
          <w:szCs w:val="22"/>
          <w:lang w:val="de-DE" w:eastAsia="de-DE"/>
        </w:rPr>
      </w:pPr>
      <w:r>
        <w:rPr>
          <w:noProof/>
        </w:rPr>
        <w:t xml:space="preserve">Tabelle 4: </w:t>
      </w:r>
      <w:r w:rsidRPr="005139DE">
        <w:rPr>
          <w:i/>
          <w:noProof/>
        </w:rPr>
        <w:t>Metarhizium</w:t>
      </w:r>
      <w:r>
        <w:rPr>
          <w:noProof/>
        </w:rPr>
        <w:t xml:space="preserve"> Stammkollektion: Die Genotypen GT 20 bis GT 26, welche im Rahmen des DIACONT Projektes neu isoliert und charakterisiert wurden. Die Sequenzierung wird zurzeit fortgeführt und soll unsere hausMykothek mit zahlreichen neunen </w:t>
      </w:r>
      <w:r w:rsidRPr="005139DE">
        <w:rPr>
          <w:i/>
          <w:noProof/>
        </w:rPr>
        <w:t>Metarhizium</w:t>
      </w:r>
      <w:r>
        <w:rPr>
          <w:noProof/>
        </w:rPr>
        <w:t xml:space="preserve"> Stämmen erweitern.</w:t>
      </w:r>
      <w:r>
        <w:rPr>
          <w:noProof/>
        </w:rPr>
        <w:tab/>
      </w:r>
      <w:r>
        <w:rPr>
          <w:noProof/>
        </w:rPr>
        <w:fldChar w:fldCharType="begin"/>
      </w:r>
      <w:r>
        <w:rPr>
          <w:noProof/>
        </w:rPr>
        <w:instrText xml:space="preserve"> PAGEREF _Toc7715385 \h </w:instrText>
      </w:r>
      <w:r>
        <w:rPr>
          <w:noProof/>
        </w:rPr>
      </w:r>
      <w:r>
        <w:rPr>
          <w:noProof/>
        </w:rPr>
        <w:fldChar w:fldCharType="separate"/>
      </w:r>
      <w:r>
        <w:rPr>
          <w:noProof/>
        </w:rPr>
        <w:t>25</w:t>
      </w:r>
      <w:r>
        <w:rPr>
          <w:noProof/>
        </w:rPr>
        <w:fldChar w:fldCharType="end"/>
      </w:r>
    </w:p>
    <w:p w:rsidR="00871DEE" w:rsidRDefault="00871DEE">
      <w:pPr>
        <w:pStyle w:val="Abbildungsverzeichnis"/>
        <w:tabs>
          <w:tab w:val="right" w:leader="dot" w:pos="9168"/>
        </w:tabs>
        <w:rPr>
          <w:rFonts w:asciiTheme="minorHAnsi" w:hAnsiTheme="minorHAnsi" w:cstheme="minorBidi"/>
          <w:noProof/>
          <w:sz w:val="22"/>
          <w:szCs w:val="22"/>
          <w:lang w:val="de-DE" w:eastAsia="de-DE"/>
        </w:rPr>
      </w:pPr>
      <w:r>
        <w:rPr>
          <w:noProof/>
        </w:rPr>
        <w:t xml:space="preserve">Tabelle 5:Versuchsflächen mit Koordinaten, Pflanzenschutz-maßnahme, Maissorte, Entfernung zur Mur und Vorfrüchte der letzten drei Jahre, </w:t>
      </w:r>
      <w:r w:rsidRPr="005139DE">
        <w:rPr>
          <w:noProof/>
          <w:vertAlign w:val="superscript"/>
        </w:rPr>
        <w:t xml:space="preserve">1 </w:t>
      </w:r>
      <w:r>
        <w:rPr>
          <w:noProof/>
        </w:rPr>
        <w:t xml:space="preserve">2016, </w:t>
      </w:r>
      <w:r w:rsidRPr="005139DE">
        <w:rPr>
          <w:noProof/>
          <w:vertAlign w:val="superscript"/>
        </w:rPr>
        <w:t xml:space="preserve">2 </w:t>
      </w:r>
      <w:r>
        <w:rPr>
          <w:noProof/>
        </w:rPr>
        <w:t>2017</w:t>
      </w:r>
      <w:r>
        <w:rPr>
          <w:noProof/>
        </w:rPr>
        <w:tab/>
      </w:r>
      <w:r>
        <w:rPr>
          <w:noProof/>
        </w:rPr>
        <w:fldChar w:fldCharType="begin"/>
      </w:r>
      <w:r>
        <w:rPr>
          <w:noProof/>
        </w:rPr>
        <w:instrText xml:space="preserve"> PAGEREF _Toc7715386 \h </w:instrText>
      </w:r>
      <w:r>
        <w:rPr>
          <w:noProof/>
        </w:rPr>
      </w:r>
      <w:r>
        <w:rPr>
          <w:noProof/>
        </w:rPr>
        <w:fldChar w:fldCharType="separate"/>
      </w:r>
      <w:r>
        <w:rPr>
          <w:noProof/>
        </w:rPr>
        <w:t>30</w:t>
      </w:r>
      <w:r>
        <w:rPr>
          <w:noProof/>
        </w:rPr>
        <w:fldChar w:fldCharType="end"/>
      </w:r>
    </w:p>
    <w:p w:rsidR="00871DEE" w:rsidRDefault="00871DEE">
      <w:pPr>
        <w:pStyle w:val="Abbildungsverzeichnis"/>
        <w:tabs>
          <w:tab w:val="right" w:leader="dot" w:pos="9168"/>
        </w:tabs>
        <w:rPr>
          <w:rFonts w:asciiTheme="minorHAnsi" w:hAnsiTheme="minorHAnsi" w:cstheme="minorBidi"/>
          <w:noProof/>
          <w:sz w:val="22"/>
          <w:szCs w:val="22"/>
          <w:lang w:val="de-DE" w:eastAsia="de-DE"/>
        </w:rPr>
      </w:pPr>
      <w:r>
        <w:rPr>
          <w:noProof/>
        </w:rPr>
        <w:t>Tabelle 6:Bodentemperatur in 15 cm Bodentiefe in halbmonatlichen Mittelwerten und Jahresmitteln. Gereiht nach der Lager der Felder zur Mur.</w:t>
      </w:r>
      <w:r>
        <w:rPr>
          <w:noProof/>
        </w:rPr>
        <w:tab/>
      </w:r>
      <w:r>
        <w:rPr>
          <w:noProof/>
        </w:rPr>
        <w:fldChar w:fldCharType="begin"/>
      </w:r>
      <w:r>
        <w:rPr>
          <w:noProof/>
        </w:rPr>
        <w:instrText xml:space="preserve"> PAGEREF _Toc7715387 \h </w:instrText>
      </w:r>
      <w:r>
        <w:rPr>
          <w:noProof/>
        </w:rPr>
      </w:r>
      <w:r>
        <w:rPr>
          <w:noProof/>
        </w:rPr>
        <w:fldChar w:fldCharType="separate"/>
      </w:r>
      <w:r>
        <w:rPr>
          <w:noProof/>
        </w:rPr>
        <w:t>46</w:t>
      </w:r>
      <w:r>
        <w:rPr>
          <w:noProof/>
        </w:rPr>
        <w:fldChar w:fldCharType="end"/>
      </w:r>
    </w:p>
    <w:p w:rsidR="00871DEE" w:rsidRDefault="00871DEE">
      <w:pPr>
        <w:pStyle w:val="Abbildungsverzeichnis"/>
        <w:tabs>
          <w:tab w:val="right" w:leader="dot" w:pos="9168"/>
        </w:tabs>
        <w:rPr>
          <w:rFonts w:asciiTheme="minorHAnsi" w:hAnsiTheme="minorHAnsi" w:cstheme="minorBidi"/>
          <w:noProof/>
          <w:sz w:val="22"/>
          <w:szCs w:val="22"/>
          <w:lang w:val="de-DE" w:eastAsia="de-DE"/>
        </w:rPr>
      </w:pPr>
      <w:r>
        <w:rPr>
          <w:noProof/>
        </w:rPr>
        <w:t>Tabelle 7:Bekämpfungsmethode des Maiswurzelbohrers im Vergleich zur Vorjahresbehandlung</w:t>
      </w:r>
      <w:r>
        <w:rPr>
          <w:noProof/>
        </w:rPr>
        <w:tab/>
      </w:r>
      <w:r>
        <w:rPr>
          <w:noProof/>
        </w:rPr>
        <w:fldChar w:fldCharType="begin"/>
      </w:r>
      <w:r>
        <w:rPr>
          <w:noProof/>
        </w:rPr>
        <w:instrText xml:space="preserve"> PAGEREF _Toc7715388 \h </w:instrText>
      </w:r>
      <w:r>
        <w:rPr>
          <w:noProof/>
        </w:rPr>
      </w:r>
      <w:r>
        <w:rPr>
          <w:noProof/>
        </w:rPr>
        <w:fldChar w:fldCharType="separate"/>
      </w:r>
      <w:r>
        <w:rPr>
          <w:noProof/>
        </w:rPr>
        <w:t>48</w:t>
      </w:r>
      <w:r>
        <w:rPr>
          <w:noProof/>
        </w:rPr>
        <w:fldChar w:fldCharType="end"/>
      </w:r>
    </w:p>
    <w:p w:rsidR="00871DEE" w:rsidRDefault="00871DEE">
      <w:pPr>
        <w:pStyle w:val="Abbildungsverzeichnis"/>
        <w:tabs>
          <w:tab w:val="right" w:leader="dot" w:pos="9168"/>
        </w:tabs>
        <w:rPr>
          <w:rFonts w:asciiTheme="minorHAnsi" w:hAnsiTheme="minorHAnsi" w:cstheme="minorBidi"/>
          <w:noProof/>
          <w:sz w:val="22"/>
          <w:szCs w:val="22"/>
          <w:lang w:val="de-DE" w:eastAsia="de-DE"/>
        </w:rPr>
      </w:pPr>
      <w:r>
        <w:rPr>
          <w:noProof/>
        </w:rPr>
        <w:t>Tabelle 8: Diabrotica virgifera Schlupfkäfigfangzahlen (Käfer) am Standort Dedenitz im Juli 2018 (Kalenderwoche 27 bis 30; Mittelwert mit STABW; N=6).</w:t>
      </w:r>
      <w:r>
        <w:rPr>
          <w:noProof/>
        </w:rPr>
        <w:tab/>
      </w:r>
      <w:r>
        <w:rPr>
          <w:noProof/>
        </w:rPr>
        <w:fldChar w:fldCharType="begin"/>
      </w:r>
      <w:r>
        <w:rPr>
          <w:noProof/>
        </w:rPr>
        <w:instrText xml:space="preserve"> PAGEREF _Toc7715389 \h </w:instrText>
      </w:r>
      <w:r>
        <w:rPr>
          <w:noProof/>
        </w:rPr>
      </w:r>
      <w:r>
        <w:rPr>
          <w:noProof/>
        </w:rPr>
        <w:fldChar w:fldCharType="separate"/>
      </w:r>
      <w:r>
        <w:rPr>
          <w:noProof/>
        </w:rPr>
        <w:t>81</w:t>
      </w:r>
      <w:r>
        <w:rPr>
          <w:noProof/>
        </w:rPr>
        <w:fldChar w:fldCharType="end"/>
      </w:r>
    </w:p>
    <w:p w:rsidR="00871DEE" w:rsidRDefault="00871DEE">
      <w:pPr>
        <w:pStyle w:val="Abbildungsverzeichnis"/>
        <w:tabs>
          <w:tab w:val="right" w:leader="dot" w:pos="9168"/>
        </w:tabs>
        <w:rPr>
          <w:rFonts w:asciiTheme="minorHAnsi" w:hAnsiTheme="minorHAnsi" w:cstheme="minorBidi"/>
          <w:noProof/>
          <w:sz w:val="22"/>
          <w:szCs w:val="22"/>
          <w:lang w:val="de-DE" w:eastAsia="de-DE"/>
        </w:rPr>
      </w:pPr>
      <w:r>
        <w:rPr>
          <w:noProof/>
        </w:rPr>
        <w:t>Tabelle 9: varianten überwinterungsversuch</w:t>
      </w:r>
      <w:r>
        <w:rPr>
          <w:noProof/>
        </w:rPr>
        <w:tab/>
      </w:r>
      <w:r>
        <w:rPr>
          <w:noProof/>
        </w:rPr>
        <w:fldChar w:fldCharType="begin"/>
      </w:r>
      <w:r>
        <w:rPr>
          <w:noProof/>
        </w:rPr>
        <w:instrText xml:space="preserve"> PAGEREF _Toc7715390 \h </w:instrText>
      </w:r>
      <w:r>
        <w:rPr>
          <w:noProof/>
        </w:rPr>
      </w:r>
      <w:r>
        <w:rPr>
          <w:noProof/>
        </w:rPr>
        <w:fldChar w:fldCharType="separate"/>
      </w:r>
      <w:r>
        <w:rPr>
          <w:noProof/>
        </w:rPr>
        <w:t>91</w:t>
      </w:r>
      <w:r>
        <w:rPr>
          <w:noProof/>
        </w:rPr>
        <w:fldChar w:fldCharType="end"/>
      </w:r>
    </w:p>
    <w:p w:rsidR="00871DEE" w:rsidRDefault="00871DEE">
      <w:pPr>
        <w:pStyle w:val="Abbildungsverzeichnis"/>
        <w:tabs>
          <w:tab w:val="right" w:leader="dot" w:pos="9168"/>
        </w:tabs>
        <w:rPr>
          <w:rFonts w:asciiTheme="minorHAnsi" w:hAnsiTheme="minorHAnsi" w:cstheme="minorBidi"/>
          <w:noProof/>
          <w:sz w:val="22"/>
          <w:szCs w:val="22"/>
          <w:lang w:val="de-DE" w:eastAsia="de-DE"/>
        </w:rPr>
      </w:pPr>
      <w:r>
        <w:rPr>
          <w:noProof/>
        </w:rPr>
        <w:t>Tabelle 10: Gegenüberstellung der Modul Erfordernisse / Ergebnisse des Forschungsprojektes (Partner 4, UIBK)</w:t>
      </w:r>
      <w:r>
        <w:rPr>
          <w:noProof/>
        </w:rPr>
        <w:tab/>
      </w:r>
      <w:r>
        <w:rPr>
          <w:noProof/>
        </w:rPr>
        <w:fldChar w:fldCharType="begin"/>
      </w:r>
      <w:r>
        <w:rPr>
          <w:noProof/>
        </w:rPr>
        <w:instrText xml:space="preserve"> PAGEREF _Toc7715391 \h </w:instrText>
      </w:r>
      <w:r>
        <w:rPr>
          <w:noProof/>
        </w:rPr>
      </w:r>
      <w:r>
        <w:rPr>
          <w:noProof/>
        </w:rPr>
        <w:fldChar w:fldCharType="separate"/>
      </w:r>
      <w:r>
        <w:rPr>
          <w:noProof/>
        </w:rPr>
        <w:t>111</w:t>
      </w:r>
      <w:r>
        <w:rPr>
          <w:noProof/>
        </w:rPr>
        <w:fldChar w:fldCharType="end"/>
      </w:r>
    </w:p>
    <w:p w:rsidR="005B4A0A" w:rsidRDefault="001552E7" w:rsidP="006860F8">
      <w:pPr>
        <w:pStyle w:val="Flietext"/>
      </w:pPr>
      <w:r>
        <w:rPr>
          <w:rFonts w:eastAsia="Times New Roman" w:cstheme="majorBidi"/>
          <w:caps/>
          <w:color w:val="1F6BAE"/>
          <w:sz w:val="36"/>
        </w:rPr>
        <w:fldChar w:fldCharType="end"/>
      </w:r>
    </w:p>
    <w:p w:rsidR="00F000C6" w:rsidRDefault="00F000C6" w:rsidP="00335D37">
      <w:pPr>
        <w:pStyle w:val="berschrift118pt"/>
      </w:pPr>
      <w:bookmarkStart w:id="418" w:name="_Toc7715671"/>
      <w:r>
        <w:t>Abbildungsverzeichnis</w:t>
      </w:r>
      <w:bookmarkEnd w:id="418"/>
    </w:p>
    <w:p w:rsidR="00871DEE" w:rsidRDefault="00E23665">
      <w:pPr>
        <w:pStyle w:val="Abbildungsverzeichnis"/>
        <w:tabs>
          <w:tab w:val="right" w:leader="dot" w:pos="9168"/>
        </w:tabs>
        <w:rPr>
          <w:rFonts w:asciiTheme="minorHAnsi" w:hAnsiTheme="minorHAnsi" w:cstheme="minorBidi"/>
          <w:noProof/>
          <w:sz w:val="22"/>
          <w:szCs w:val="22"/>
          <w:lang w:val="de-DE" w:eastAsia="de-DE"/>
        </w:rPr>
      </w:pPr>
      <w:r>
        <w:fldChar w:fldCharType="begin"/>
      </w:r>
      <w:r>
        <w:instrText xml:space="preserve"> TOC \h \z \c "Abbildung" </w:instrText>
      </w:r>
      <w:r>
        <w:fldChar w:fldCharType="separate"/>
      </w:r>
      <w:hyperlink w:anchor="_Toc7715392" w:history="1">
        <w:r w:rsidR="00871DEE" w:rsidRPr="00E66F98">
          <w:rPr>
            <w:rStyle w:val="Hyperlink"/>
            <w:noProof/>
          </w:rPr>
          <w:t>Abbildung 1: Versuchsflächen in der Steiermark. Laafeld (E) und Dietzen (A,B) wurden seit 2012 mit GranMet</w:t>
        </w:r>
        <w:r w:rsidR="00871DEE" w:rsidRPr="00E66F98">
          <w:rPr>
            <w:rStyle w:val="Hyperlink"/>
            <w:noProof/>
            <w:vertAlign w:val="superscript"/>
          </w:rPr>
          <w:t>TM</w:t>
        </w:r>
        <w:r w:rsidR="00871DEE" w:rsidRPr="00E66F98">
          <w:rPr>
            <w:rStyle w:val="Hyperlink"/>
            <w:noProof/>
          </w:rPr>
          <w:t xml:space="preserve"> (BIPESCO 5) behandelt; die Kontrollflächen 2016 (C) und 2017 (D) waren unbehandelt (© 2017, GeoBasis-DE/BKG, Google)</w:t>
        </w:r>
        <w:r w:rsidR="00871DEE">
          <w:rPr>
            <w:noProof/>
            <w:webHidden/>
          </w:rPr>
          <w:tab/>
        </w:r>
        <w:r w:rsidR="00871DEE">
          <w:rPr>
            <w:noProof/>
            <w:webHidden/>
          </w:rPr>
          <w:fldChar w:fldCharType="begin"/>
        </w:r>
        <w:r w:rsidR="00871DEE">
          <w:rPr>
            <w:noProof/>
            <w:webHidden/>
          </w:rPr>
          <w:instrText xml:space="preserve"> PAGEREF _Toc7715392 \h </w:instrText>
        </w:r>
        <w:r w:rsidR="00871DEE">
          <w:rPr>
            <w:noProof/>
            <w:webHidden/>
          </w:rPr>
        </w:r>
        <w:r w:rsidR="00871DEE">
          <w:rPr>
            <w:noProof/>
            <w:webHidden/>
          </w:rPr>
          <w:fldChar w:fldCharType="separate"/>
        </w:r>
        <w:r w:rsidR="00871DEE">
          <w:rPr>
            <w:noProof/>
            <w:webHidden/>
          </w:rPr>
          <w:t>11</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393" w:history="1">
        <w:r w:rsidR="00871DEE" w:rsidRPr="00E66F98">
          <w:rPr>
            <w:rStyle w:val="Hyperlink"/>
            <w:noProof/>
          </w:rPr>
          <w:t>Abbildung 2: Versuchsflächen in Tirol: Burgenfeld (A), Kramat (B) und die Kontrollfläche (C) galten bis Frühjahr 2016 als Metarhizium unbehandelt. (© 2016 GeoBasis-DE/BKG, Google)</w:t>
        </w:r>
        <w:r w:rsidR="00871DEE">
          <w:rPr>
            <w:noProof/>
            <w:webHidden/>
          </w:rPr>
          <w:tab/>
        </w:r>
        <w:r w:rsidR="00871DEE">
          <w:rPr>
            <w:noProof/>
            <w:webHidden/>
          </w:rPr>
          <w:fldChar w:fldCharType="begin"/>
        </w:r>
        <w:r w:rsidR="00871DEE">
          <w:rPr>
            <w:noProof/>
            <w:webHidden/>
          </w:rPr>
          <w:instrText xml:space="preserve"> PAGEREF _Toc7715393 \h </w:instrText>
        </w:r>
        <w:r w:rsidR="00871DEE">
          <w:rPr>
            <w:noProof/>
            <w:webHidden/>
          </w:rPr>
        </w:r>
        <w:r w:rsidR="00871DEE">
          <w:rPr>
            <w:noProof/>
            <w:webHidden/>
          </w:rPr>
          <w:fldChar w:fldCharType="separate"/>
        </w:r>
        <w:r w:rsidR="00871DEE">
          <w:rPr>
            <w:noProof/>
            <w:webHidden/>
          </w:rPr>
          <w:t>12</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394" w:history="1">
        <w:r w:rsidR="00871DEE" w:rsidRPr="00E66F98">
          <w:rPr>
            <w:rStyle w:val="Hyperlink"/>
            <w:noProof/>
          </w:rPr>
          <w:t>Abbildung 3: Applikation von GranMet</w:t>
        </w:r>
        <w:r w:rsidR="00871DEE" w:rsidRPr="00E66F98">
          <w:rPr>
            <w:rStyle w:val="Hyperlink"/>
            <w:noProof/>
            <w:vertAlign w:val="superscript"/>
          </w:rPr>
          <w:t>TM</w:t>
        </w:r>
        <w:r w:rsidR="00871DEE" w:rsidRPr="00E66F98">
          <w:rPr>
            <w:rStyle w:val="Hyperlink"/>
            <w:noProof/>
          </w:rPr>
          <w:t xml:space="preserve"> mit Granulatstreuer und Scheibenegge (Strasser ©)</w:t>
        </w:r>
        <w:r w:rsidR="00871DEE">
          <w:rPr>
            <w:noProof/>
            <w:webHidden/>
          </w:rPr>
          <w:tab/>
        </w:r>
        <w:r w:rsidR="00871DEE">
          <w:rPr>
            <w:noProof/>
            <w:webHidden/>
          </w:rPr>
          <w:fldChar w:fldCharType="begin"/>
        </w:r>
        <w:r w:rsidR="00871DEE">
          <w:rPr>
            <w:noProof/>
            <w:webHidden/>
          </w:rPr>
          <w:instrText xml:space="preserve"> PAGEREF _Toc7715394 \h </w:instrText>
        </w:r>
        <w:r w:rsidR="00871DEE">
          <w:rPr>
            <w:noProof/>
            <w:webHidden/>
          </w:rPr>
        </w:r>
        <w:r w:rsidR="00871DEE">
          <w:rPr>
            <w:noProof/>
            <w:webHidden/>
          </w:rPr>
          <w:fldChar w:fldCharType="separate"/>
        </w:r>
        <w:r w:rsidR="00871DEE">
          <w:rPr>
            <w:noProof/>
            <w:webHidden/>
          </w:rPr>
          <w:t>13</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395" w:history="1">
        <w:r w:rsidR="00871DEE" w:rsidRPr="00E66F98">
          <w:rPr>
            <w:rStyle w:val="Hyperlink"/>
            <w:noProof/>
          </w:rPr>
          <w:t>Abbildung 4: Zunahme der Pilzdichte im behandelten Maisacker (Versuchsstandorte Dietzen u. Laafeld, Steiermark). Der Schwellenwert von 200 Koloniebildenden Einheitswerten (KBE; indigene Dichte) bezogen auf ein Gramm Boden Trockengewicht wurde als punktierte Linie dargestellt; die empfohlene Metarhizium Dichte zur Sicherstellung der Wirksamkeit als gestrichelte Linie.</w:t>
        </w:r>
        <w:r w:rsidR="00871DEE">
          <w:rPr>
            <w:noProof/>
            <w:webHidden/>
          </w:rPr>
          <w:tab/>
        </w:r>
        <w:r w:rsidR="00871DEE">
          <w:rPr>
            <w:noProof/>
            <w:webHidden/>
          </w:rPr>
          <w:fldChar w:fldCharType="begin"/>
        </w:r>
        <w:r w:rsidR="00871DEE">
          <w:rPr>
            <w:noProof/>
            <w:webHidden/>
          </w:rPr>
          <w:instrText xml:space="preserve"> PAGEREF _Toc7715395 \h </w:instrText>
        </w:r>
        <w:r w:rsidR="00871DEE">
          <w:rPr>
            <w:noProof/>
            <w:webHidden/>
          </w:rPr>
        </w:r>
        <w:r w:rsidR="00871DEE">
          <w:rPr>
            <w:noProof/>
            <w:webHidden/>
          </w:rPr>
          <w:fldChar w:fldCharType="separate"/>
        </w:r>
        <w:r w:rsidR="00871DEE">
          <w:rPr>
            <w:noProof/>
            <w:webHidden/>
          </w:rPr>
          <w:t>16</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396" w:history="1">
        <w:r w:rsidR="00871DEE" w:rsidRPr="00E66F98">
          <w:rPr>
            <w:rStyle w:val="Hyperlink"/>
            <w:noProof/>
          </w:rPr>
          <w:t>Abbildung 5: Periodische Metarhizium Abundanz-Schwankungen über einen Zeitraum von sechs Jahren am Versuchsstandort Dietzen und Laafeld, (Steiermark). Die grau unterlegte Fläche symbolisiert die zu erwartende, indigene Metarhizium-Pilzdichte in Ackerflächen, postuliert von Scheepmaker &amp; Butt (2010). Der empfohlene Metarhizium Abundanzwert von 5.000 Koloniebildenden Einheitswerten pro Gramm Boden Trockengewicht, zur Sicherstellung der Wirksamkeit, wurde als punktierte Linie gekennzeichnet.</w:t>
        </w:r>
        <w:r w:rsidR="00871DEE">
          <w:rPr>
            <w:noProof/>
            <w:webHidden/>
          </w:rPr>
          <w:tab/>
        </w:r>
        <w:r w:rsidR="00871DEE">
          <w:rPr>
            <w:noProof/>
            <w:webHidden/>
          </w:rPr>
          <w:fldChar w:fldCharType="begin"/>
        </w:r>
        <w:r w:rsidR="00871DEE">
          <w:rPr>
            <w:noProof/>
            <w:webHidden/>
          </w:rPr>
          <w:instrText xml:space="preserve"> PAGEREF _Toc7715396 \h </w:instrText>
        </w:r>
        <w:r w:rsidR="00871DEE">
          <w:rPr>
            <w:noProof/>
            <w:webHidden/>
          </w:rPr>
        </w:r>
        <w:r w:rsidR="00871DEE">
          <w:rPr>
            <w:noProof/>
            <w:webHidden/>
          </w:rPr>
          <w:fldChar w:fldCharType="separate"/>
        </w:r>
        <w:r w:rsidR="00871DEE">
          <w:rPr>
            <w:noProof/>
            <w:webHidden/>
          </w:rPr>
          <w:t>17</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397" w:history="1">
        <w:r w:rsidR="00871DEE" w:rsidRPr="00E66F98">
          <w:rPr>
            <w:rStyle w:val="Hyperlink"/>
            <w:noProof/>
          </w:rPr>
          <w:t>Abbildung 6: Diabrotica v. virgifera Käferfangzahlen pro Fläche Maisacker (m</w:t>
        </w:r>
        <w:r w:rsidR="00871DEE" w:rsidRPr="00E66F98">
          <w:rPr>
            <w:rStyle w:val="Hyperlink"/>
            <w:noProof/>
            <w:vertAlign w:val="superscript"/>
          </w:rPr>
          <w:t>2</w:t>
        </w:r>
        <w:r w:rsidR="00871DEE" w:rsidRPr="00E66F98">
          <w:rPr>
            <w:rStyle w:val="Hyperlink"/>
            <w:noProof/>
          </w:rPr>
          <w:t>) im Versuchsjahr 2016 und 2017, in der GranMet</w:t>
        </w:r>
        <w:r w:rsidR="00871DEE" w:rsidRPr="00E66F98">
          <w:rPr>
            <w:rStyle w:val="Hyperlink"/>
            <w:noProof/>
            <w:vertAlign w:val="superscript"/>
          </w:rPr>
          <w:t>TM</w:t>
        </w:r>
        <w:r w:rsidR="00871DEE" w:rsidRPr="00E66F98">
          <w:rPr>
            <w:rStyle w:val="Hyperlink"/>
            <w:noProof/>
          </w:rPr>
          <w:t xml:space="preserve"> Behandlungsfläche Laafeld und Dietzen, sowie den Kontrollflächen, welche sich in unmittelbarer Nähe der Behandlungsfläche Dietzen befanden. In Laafeld wurde 2017 ein Fruchtwechsel durchgeführt.</w:t>
        </w:r>
        <w:r w:rsidR="00871DEE">
          <w:rPr>
            <w:noProof/>
            <w:webHidden/>
          </w:rPr>
          <w:tab/>
        </w:r>
        <w:r w:rsidR="00871DEE">
          <w:rPr>
            <w:noProof/>
            <w:webHidden/>
          </w:rPr>
          <w:fldChar w:fldCharType="begin"/>
        </w:r>
        <w:r w:rsidR="00871DEE">
          <w:rPr>
            <w:noProof/>
            <w:webHidden/>
          </w:rPr>
          <w:instrText xml:space="preserve"> PAGEREF _Toc7715397 \h </w:instrText>
        </w:r>
        <w:r w:rsidR="00871DEE">
          <w:rPr>
            <w:noProof/>
            <w:webHidden/>
          </w:rPr>
        </w:r>
        <w:r w:rsidR="00871DEE">
          <w:rPr>
            <w:noProof/>
            <w:webHidden/>
          </w:rPr>
          <w:fldChar w:fldCharType="separate"/>
        </w:r>
        <w:r w:rsidR="00871DEE">
          <w:rPr>
            <w:noProof/>
            <w:webHidden/>
          </w:rPr>
          <w:t>18</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398" w:history="1">
        <w:r w:rsidR="00871DEE" w:rsidRPr="00E66F98">
          <w:rPr>
            <w:rStyle w:val="Hyperlink"/>
            <w:noProof/>
          </w:rPr>
          <w:t>Abbildung 7:</w:t>
        </w:r>
        <w:r w:rsidR="00871DEE" w:rsidRPr="00E66F98">
          <w:rPr>
            <w:rStyle w:val="Hyperlink"/>
            <w:noProof/>
            <w:lang w:eastAsia="it-IT"/>
          </w:rPr>
          <w:t xml:space="preserve"> Metarhizium Abundanz nach fünf GranMet</w:t>
        </w:r>
        <w:r w:rsidR="00871DEE" w:rsidRPr="00E66F98">
          <w:rPr>
            <w:rStyle w:val="Hyperlink"/>
            <w:noProof/>
            <w:vertAlign w:val="superscript"/>
            <w:lang w:eastAsia="it-IT"/>
          </w:rPr>
          <w:t>TM</w:t>
        </w:r>
        <w:r w:rsidR="00871DEE" w:rsidRPr="00E66F98">
          <w:rPr>
            <w:rStyle w:val="Hyperlink"/>
            <w:noProof/>
            <w:lang w:eastAsia="it-IT"/>
          </w:rPr>
          <w:t xml:space="preserve"> Applikationen, welche mit Ausnahme Laafeld (2014 – Herbstapplikation; 2017 Fruchtwechsel) stets im Frühjahr vor der Maisaussaat, mit einer Dosierung von 50 kg GranMet</w:t>
        </w:r>
        <w:r w:rsidR="00871DEE" w:rsidRPr="00E66F98">
          <w:rPr>
            <w:rStyle w:val="Hyperlink"/>
            <w:noProof/>
            <w:vertAlign w:val="superscript"/>
            <w:lang w:eastAsia="it-IT"/>
          </w:rPr>
          <w:t>TM</w:t>
        </w:r>
        <w:r w:rsidR="00871DEE" w:rsidRPr="00E66F98">
          <w:rPr>
            <w:rStyle w:val="Hyperlink"/>
            <w:noProof/>
            <w:lang w:eastAsia="it-IT"/>
          </w:rPr>
          <w:t xml:space="preserve"> pro Hektar und Jahr, in den Boden eingearbeitet wurde. Das unbehandelte Kontrollfeld befanden sich in unmittelbarer Nähe zum Versuchsfeld Dietzen.</w:t>
        </w:r>
        <w:r w:rsidR="00871DEE">
          <w:rPr>
            <w:noProof/>
            <w:webHidden/>
          </w:rPr>
          <w:tab/>
        </w:r>
        <w:r w:rsidR="00871DEE">
          <w:rPr>
            <w:noProof/>
            <w:webHidden/>
          </w:rPr>
          <w:fldChar w:fldCharType="begin"/>
        </w:r>
        <w:r w:rsidR="00871DEE">
          <w:rPr>
            <w:noProof/>
            <w:webHidden/>
          </w:rPr>
          <w:instrText xml:space="preserve"> PAGEREF _Toc7715398 \h </w:instrText>
        </w:r>
        <w:r w:rsidR="00871DEE">
          <w:rPr>
            <w:noProof/>
            <w:webHidden/>
          </w:rPr>
        </w:r>
        <w:r w:rsidR="00871DEE">
          <w:rPr>
            <w:noProof/>
            <w:webHidden/>
          </w:rPr>
          <w:fldChar w:fldCharType="separate"/>
        </w:r>
        <w:r w:rsidR="00871DEE">
          <w:rPr>
            <w:noProof/>
            <w:webHidden/>
          </w:rPr>
          <w:t>18</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399" w:history="1">
        <w:r w:rsidR="00871DEE" w:rsidRPr="00E66F98">
          <w:rPr>
            <w:rStyle w:val="Hyperlink"/>
            <w:noProof/>
          </w:rPr>
          <w:t>Abbildung 8: Maisbonitur in der Pflanzsaison 2016 und 2017: in den GranMet</w:t>
        </w:r>
        <w:r w:rsidR="00871DEE" w:rsidRPr="00E66F98">
          <w:rPr>
            <w:rStyle w:val="Hyperlink"/>
            <w:noProof/>
            <w:vertAlign w:val="superscript"/>
          </w:rPr>
          <w:t>TM</w:t>
        </w:r>
        <w:r w:rsidR="00871DEE" w:rsidRPr="00E66F98">
          <w:rPr>
            <w:rStyle w:val="Hyperlink"/>
            <w:noProof/>
          </w:rPr>
          <w:t>-Behandlungsflächen (Dietzen und Laafeld) und in den Kontrollflächen (Dietzen und Donnersdorf). Boniturkriterien gemäß Foltin et al. (2014). Die Maisschäden für 2018 wurden nicht abgebildet, da in den Behandlungflächen die Schäden als vernachlässigbar einzustaufen warem (&lt; 1, 5 Prozent, keine Lagerungsschäden).</w:t>
        </w:r>
        <w:r w:rsidR="00871DEE">
          <w:rPr>
            <w:noProof/>
            <w:webHidden/>
          </w:rPr>
          <w:tab/>
        </w:r>
        <w:r w:rsidR="00871DEE">
          <w:rPr>
            <w:noProof/>
            <w:webHidden/>
          </w:rPr>
          <w:fldChar w:fldCharType="begin"/>
        </w:r>
        <w:r w:rsidR="00871DEE">
          <w:rPr>
            <w:noProof/>
            <w:webHidden/>
          </w:rPr>
          <w:instrText xml:space="preserve"> PAGEREF _Toc7715399 \h </w:instrText>
        </w:r>
        <w:r w:rsidR="00871DEE">
          <w:rPr>
            <w:noProof/>
            <w:webHidden/>
          </w:rPr>
        </w:r>
        <w:r w:rsidR="00871DEE">
          <w:rPr>
            <w:noProof/>
            <w:webHidden/>
          </w:rPr>
          <w:fldChar w:fldCharType="separate"/>
        </w:r>
        <w:r w:rsidR="00871DEE">
          <w:rPr>
            <w:noProof/>
            <w:webHidden/>
          </w:rPr>
          <w:t>20</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00" w:history="1">
        <w:r w:rsidR="00871DEE" w:rsidRPr="00E66F98">
          <w:rPr>
            <w:rStyle w:val="Hyperlink"/>
            <w:noProof/>
          </w:rPr>
          <w:t>Abbildung 9: Lagerungschäden in der Kontrollfläche Rosschädl (Donnersdorf, Steiermark) trotz optimaler Wuchs- und Witterungsbedingungen in der Pflanzsaison 2018 (Fischer ©).</w:t>
        </w:r>
        <w:r w:rsidR="00871DEE">
          <w:rPr>
            <w:noProof/>
            <w:webHidden/>
          </w:rPr>
          <w:tab/>
        </w:r>
        <w:r w:rsidR="00871DEE">
          <w:rPr>
            <w:noProof/>
            <w:webHidden/>
          </w:rPr>
          <w:fldChar w:fldCharType="begin"/>
        </w:r>
        <w:r w:rsidR="00871DEE">
          <w:rPr>
            <w:noProof/>
            <w:webHidden/>
          </w:rPr>
          <w:instrText xml:space="preserve"> PAGEREF _Toc7715400 \h </w:instrText>
        </w:r>
        <w:r w:rsidR="00871DEE">
          <w:rPr>
            <w:noProof/>
            <w:webHidden/>
          </w:rPr>
        </w:r>
        <w:r w:rsidR="00871DEE">
          <w:rPr>
            <w:noProof/>
            <w:webHidden/>
          </w:rPr>
          <w:fldChar w:fldCharType="separate"/>
        </w:r>
        <w:r w:rsidR="00871DEE">
          <w:rPr>
            <w:noProof/>
            <w:webHidden/>
          </w:rPr>
          <w:t>21</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01" w:history="1">
        <w:r w:rsidR="00871DEE" w:rsidRPr="00E66F98">
          <w:rPr>
            <w:rStyle w:val="Hyperlink"/>
            <w:noProof/>
          </w:rPr>
          <w:t>Abbildung 10: Metarhizium spp. Abundanz, vor und nach der GranMet</w:t>
        </w:r>
        <w:r w:rsidR="00871DEE" w:rsidRPr="00E66F98">
          <w:rPr>
            <w:rStyle w:val="Hyperlink"/>
            <w:noProof/>
            <w:vertAlign w:val="superscript"/>
          </w:rPr>
          <w:t>TM</w:t>
        </w:r>
        <w:r w:rsidR="00871DEE" w:rsidRPr="00E66F98">
          <w:rPr>
            <w:rStyle w:val="Hyperlink"/>
            <w:noProof/>
          </w:rPr>
          <w:t>-Applikation (50 kg ha</w:t>
        </w:r>
        <w:r w:rsidR="00871DEE" w:rsidRPr="00E66F98">
          <w:rPr>
            <w:rStyle w:val="Hyperlink"/>
            <w:noProof/>
            <w:vertAlign w:val="superscript"/>
          </w:rPr>
          <w:t>-1</w:t>
        </w:r>
        <w:r w:rsidR="00871DEE" w:rsidRPr="00E66F98">
          <w:rPr>
            <w:rStyle w:val="Hyperlink"/>
            <w:noProof/>
          </w:rPr>
          <w:t xml:space="preserve"> und Jahr Pilzgerste) in den Versuchsstandorten Burgenfeld und Kramat, sowie in der unbehandelten Kontrollfläche in St. Johann in Tirol / Oberndorf (KBE: Koloniebildende Einheit). (1) Die grau unterlegte Fläche symbolisiert die natürliche Metarhizium Pilz-Dichte im Maisacker. (2) Die 5.000 KBE g</w:t>
        </w:r>
        <w:r w:rsidR="00871DEE" w:rsidRPr="00E66F98">
          <w:rPr>
            <w:rStyle w:val="Hyperlink"/>
            <w:noProof/>
            <w:vertAlign w:val="superscript"/>
          </w:rPr>
          <w:t>-1</w:t>
        </w:r>
        <w:r w:rsidR="00871DEE" w:rsidRPr="00E66F98">
          <w:rPr>
            <w:rStyle w:val="Hyperlink"/>
            <w:noProof/>
          </w:rPr>
          <w:t>- TG Linie symbolisiert jene Metarhizium Dichte im Maisacker, welche nach einer dreimaligen Applikation des GranMet</w:t>
        </w:r>
        <w:r w:rsidR="00871DEE" w:rsidRPr="00E66F98">
          <w:rPr>
            <w:rStyle w:val="Hyperlink"/>
            <w:noProof/>
            <w:vertAlign w:val="superscript"/>
          </w:rPr>
          <w:t>TM</w:t>
        </w:r>
        <w:r w:rsidR="00871DEE" w:rsidRPr="00E66F98">
          <w:rPr>
            <w:rStyle w:val="Hyperlink"/>
            <w:noProof/>
          </w:rPr>
          <w:t xml:space="preserve"> –Produktes wunschgemäß erreicht werden sollte (d.h. postulierte Dichte für Wirkungssicherheit).</w:t>
        </w:r>
        <w:r w:rsidR="00871DEE">
          <w:rPr>
            <w:noProof/>
            <w:webHidden/>
          </w:rPr>
          <w:tab/>
        </w:r>
        <w:r w:rsidR="00871DEE">
          <w:rPr>
            <w:noProof/>
            <w:webHidden/>
          </w:rPr>
          <w:fldChar w:fldCharType="begin"/>
        </w:r>
        <w:r w:rsidR="00871DEE">
          <w:rPr>
            <w:noProof/>
            <w:webHidden/>
          </w:rPr>
          <w:instrText xml:space="preserve"> PAGEREF _Toc7715401 \h </w:instrText>
        </w:r>
        <w:r w:rsidR="00871DEE">
          <w:rPr>
            <w:noProof/>
            <w:webHidden/>
          </w:rPr>
        </w:r>
        <w:r w:rsidR="00871DEE">
          <w:rPr>
            <w:noProof/>
            <w:webHidden/>
          </w:rPr>
          <w:fldChar w:fldCharType="separate"/>
        </w:r>
        <w:r w:rsidR="00871DEE">
          <w:rPr>
            <w:noProof/>
            <w:webHidden/>
          </w:rPr>
          <w:t>22</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02" w:history="1">
        <w:r w:rsidR="00871DEE" w:rsidRPr="00E66F98">
          <w:rPr>
            <w:rStyle w:val="Hyperlink"/>
            <w:noProof/>
          </w:rPr>
          <w:t>Abbildung 11: Maximale Diabrotica virgifera Käferfänge in Tirol mit einem PAL Pheromon-Klebefalle System (CSALOMON</w:t>
        </w:r>
        <w:r w:rsidR="00871DEE" w:rsidRPr="00E66F98">
          <w:rPr>
            <w:rStyle w:val="Hyperlink"/>
            <w:noProof/>
            <w:vertAlign w:val="superscript"/>
          </w:rPr>
          <w:t>TM</w:t>
        </w:r>
        <w:r w:rsidR="00871DEE" w:rsidRPr="00E66F98">
          <w:rPr>
            <w:rStyle w:val="Hyperlink"/>
            <w:noProof/>
          </w:rPr>
          <w:t>, 1525 Budapest, Hungary), durchgeführt über die drei Pflanzsaisonen 2016 bis 2018, in den Kalenderwochen 27 bis 39.</w:t>
        </w:r>
        <w:r w:rsidR="00871DEE">
          <w:rPr>
            <w:noProof/>
            <w:webHidden/>
          </w:rPr>
          <w:tab/>
        </w:r>
        <w:r w:rsidR="00871DEE">
          <w:rPr>
            <w:noProof/>
            <w:webHidden/>
          </w:rPr>
          <w:fldChar w:fldCharType="begin"/>
        </w:r>
        <w:r w:rsidR="00871DEE">
          <w:rPr>
            <w:noProof/>
            <w:webHidden/>
          </w:rPr>
          <w:instrText xml:space="preserve"> PAGEREF _Toc7715402 \h </w:instrText>
        </w:r>
        <w:r w:rsidR="00871DEE">
          <w:rPr>
            <w:noProof/>
            <w:webHidden/>
          </w:rPr>
        </w:r>
        <w:r w:rsidR="00871DEE">
          <w:rPr>
            <w:noProof/>
            <w:webHidden/>
          </w:rPr>
          <w:fldChar w:fldCharType="separate"/>
        </w:r>
        <w:r w:rsidR="00871DEE">
          <w:rPr>
            <w:noProof/>
            <w:webHidden/>
          </w:rPr>
          <w:t>23</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03" w:history="1">
        <w:r w:rsidR="00871DEE" w:rsidRPr="00E66F98">
          <w:rPr>
            <w:rStyle w:val="Hyperlink"/>
            <w:noProof/>
          </w:rPr>
          <w:t>Abbildung 12: Verwandtschaft der verschiedenen Metarhizium Genotypen, welche in den Versuchstandorten, Bad Radkersburg Umgebung (Steiermark: Dietzen und Laafeld) und im Großachetal (Tirol: Burgenfeld und Kramat) 2016 und 2017 isoliert wurden (Minimal Spinning Network; R 3.1.1 for Windows). Die Größe der Kreisflächen symbolisiert die Häufigkeit des gefundenen Genotyps. Alle identifizierten M. brunneum Isolate sind mit einer durchgehenden Line markiert. M. lepidiotae ist mit einer Punktlinie bzw. M. robertsii durch eine unterbrochene Linie gekennzeichnet. Die Genotypen aus dem Jahr 2018 sind noch in Bearbeitung (A. Gruber, Master Thesis, Universität Innsbruck).</w:t>
        </w:r>
        <w:r w:rsidR="00871DEE">
          <w:rPr>
            <w:noProof/>
            <w:webHidden/>
          </w:rPr>
          <w:tab/>
        </w:r>
        <w:r w:rsidR="00871DEE">
          <w:rPr>
            <w:noProof/>
            <w:webHidden/>
          </w:rPr>
          <w:fldChar w:fldCharType="begin"/>
        </w:r>
        <w:r w:rsidR="00871DEE">
          <w:rPr>
            <w:noProof/>
            <w:webHidden/>
          </w:rPr>
          <w:instrText xml:space="preserve"> PAGEREF _Toc7715403 \h </w:instrText>
        </w:r>
        <w:r w:rsidR="00871DEE">
          <w:rPr>
            <w:noProof/>
            <w:webHidden/>
          </w:rPr>
        </w:r>
        <w:r w:rsidR="00871DEE">
          <w:rPr>
            <w:noProof/>
            <w:webHidden/>
          </w:rPr>
          <w:fldChar w:fldCharType="separate"/>
        </w:r>
        <w:r w:rsidR="00871DEE">
          <w:rPr>
            <w:noProof/>
            <w:webHidden/>
          </w:rPr>
          <w:t>24</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04" w:history="1">
        <w:r w:rsidR="00871DEE" w:rsidRPr="00E66F98">
          <w:rPr>
            <w:rStyle w:val="Hyperlink"/>
            <w:noProof/>
          </w:rPr>
          <w:t>Abbildung 13: Metarhizium-Abundanz in Abhängigkeit der Produktapplikation (GranMet</w:t>
        </w:r>
        <w:r w:rsidR="00871DEE" w:rsidRPr="00E66F98">
          <w:rPr>
            <w:rStyle w:val="Hyperlink"/>
            <w:noProof/>
            <w:vertAlign w:val="superscript"/>
          </w:rPr>
          <w:t>TM</w:t>
        </w:r>
        <w:r w:rsidR="00871DEE" w:rsidRPr="00E66F98">
          <w:rPr>
            <w:rStyle w:val="Hyperlink"/>
            <w:noProof/>
          </w:rPr>
          <w:t>) und Applikationshäufigkeit. Canonische Korrespondenzanalyse als Funktion der Behandlungen (2013 bis 2015, INBIOSOIL Studie) und Datensatz von Versuchsstandorten in der Steiermark und Tirol (2015-2018, DIACONT Studie). Monte Carlo Permuationstest, p=0,02). Datenbasis: Abundanzwerte von Metahrizium in Abhängigkeit des Standortes und der Bodentextur; e</w:t>
        </w:r>
        <w:r w:rsidR="00871DEE" w:rsidRPr="00E66F98">
          <w:rPr>
            <w:rStyle w:val="Hyperlink"/>
            <w:rFonts w:eastAsia="TimesNewRomanPSMT"/>
            <w:noProof/>
          </w:rPr>
          <w:t xml:space="preserve">in bis mehrfach behandelte Standorte, sowie </w:t>
        </w:r>
        <w:r w:rsidR="00871DEE" w:rsidRPr="00E66F98">
          <w:rPr>
            <w:rStyle w:val="Hyperlink"/>
            <w:rFonts w:eastAsia="CambriaMath"/>
            <w:noProof/>
          </w:rPr>
          <w:t>unbehandelete Kontrollflachen</w:t>
        </w:r>
        <w:r w:rsidR="00871DEE">
          <w:rPr>
            <w:noProof/>
            <w:webHidden/>
          </w:rPr>
          <w:tab/>
        </w:r>
        <w:r w:rsidR="00871DEE">
          <w:rPr>
            <w:noProof/>
            <w:webHidden/>
          </w:rPr>
          <w:fldChar w:fldCharType="begin"/>
        </w:r>
        <w:r w:rsidR="00871DEE">
          <w:rPr>
            <w:noProof/>
            <w:webHidden/>
          </w:rPr>
          <w:instrText xml:space="preserve"> PAGEREF _Toc7715404 \h </w:instrText>
        </w:r>
        <w:r w:rsidR="00871DEE">
          <w:rPr>
            <w:noProof/>
            <w:webHidden/>
          </w:rPr>
        </w:r>
        <w:r w:rsidR="00871DEE">
          <w:rPr>
            <w:noProof/>
            <w:webHidden/>
          </w:rPr>
          <w:fldChar w:fldCharType="separate"/>
        </w:r>
        <w:r w:rsidR="00871DEE">
          <w:rPr>
            <w:noProof/>
            <w:webHidden/>
          </w:rPr>
          <w:t>26</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05" w:history="1">
        <w:r w:rsidR="00871DEE" w:rsidRPr="00E66F98">
          <w:rPr>
            <w:rStyle w:val="Hyperlink"/>
            <w:noProof/>
          </w:rPr>
          <w:t>Abbildung 14: Versuchsflächen 2016 und 2017 Modul 1. In nachstehender Tabelle  sind die Koordinaten derselben gelistet:</w:t>
        </w:r>
        <w:r w:rsidR="00871DEE">
          <w:rPr>
            <w:noProof/>
            <w:webHidden/>
          </w:rPr>
          <w:tab/>
        </w:r>
        <w:r w:rsidR="00871DEE">
          <w:rPr>
            <w:noProof/>
            <w:webHidden/>
          </w:rPr>
          <w:fldChar w:fldCharType="begin"/>
        </w:r>
        <w:r w:rsidR="00871DEE">
          <w:rPr>
            <w:noProof/>
            <w:webHidden/>
          </w:rPr>
          <w:instrText xml:space="preserve"> PAGEREF _Toc7715405 \h </w:instrText>
        </w:r>
        <w:r w:rsidR="00871DEE">
          <w:rPr>
            <w:noProof/>
            <w:webHidden/>
          </w:rPr>
        </w:r>
        <w:r w:rsidR="00871DEE">
          <w:rPr>
            <w:noProof/>
            <w:webHidden/>
          </w:rPr>
          <w:fldChar w:fldCharType="separate"/>
        </w:r>
        <w:r w:rsidR="00871DEE">
          <w:rPr>
            <w:noProof/>
            <w:webHidden/>
          </w:rPr>
          <w:t>29</w:t>
        </w:r>
        <w:r w:rsidR="00871DEE">
          <w:rPr>
            <w:noProof/>
            <w:webHidden/>
          </w:rPr>
          <w:fldChar w:fldCharType="end"/>
        </w:r>
      </w:hyperlink>
    </w:p>
    <w:p w:rsidR="00871DEE" w:rsidRDefault="00ED396A">
      <w:pPr>
        <w:pStyle w:val="Abbildungsverzeichnis"/>
        <w:tabs>
          <w:tab w:val="left" w:pos="5312"/>
          <w:tab w:val="right" w:leader="dot" w:pos="9168"/>
        </w:tabs>
        <w:rPr>
          <w:rFonts w:asciiTheme="minorHAnsi" w:hAnsiTheme="minorHAnsi" w:cstheme="minorBidi"/>
          <w:noProof/>
          <w:sz w:val="22"/>
          <w:szCs w:val="22"/>
          <w:lang w:val="de-DE" w:eastAsia="de-DE"/>
        </w:rPr>
      </w:pPr>
      <w:hyperlink w:anchor="_Toc7715406" w:history="1">
        <w:r w:rsidR="00871DEE" w:rsidRPr="00E66F98">
          <w:rPr>
            <w:rStyle w:val="Hyperlink"/>
            <w:noProof/>
          </w:rPr>
          <w:t xml:space="preserve">Abbildung 15: </w:t>
        </w:r>
        <w:r w:rsidR="00871DEE" w:rsidRPr="00E66F98">
          <w:rPr>
            <w:rStyle w:val="Hyperlink"/>
            <w:noProof/>
            <w:lang w:eastAsia="de-DE"/>
          </w:rPr>
          <w:t>Dose mit Erdprobe und Mehlwürmern (links)</w:t>
        </w:r>
        <w:r w:rsidR="00871DEE">
          <w:rPr>
            <w:rFonts w:asciiTheme="minorHAnsi" w:hAnsiTheme="minorHAnsi" w:cstheme="minorBidi"/>
            <w:noProof/>
            <w:sz w:val="22"/>
            <w:szCs w:val="22"/>
            <w:lang w:val="de-DE" w:eastAsia="de-DE"/>
          </w:rPr>
          <w:tab/>
        </w:r>
        <w:r w:rsidR="00871DEE" w:rsidRPr="00E66F98">
          <w:rPr>
            <w:rStyle w:val="Hyperlink"/>
            <w:noProof/>
          </w:rPr>
          <w:t xml:space="preserve">Abbildung 16: </w:t>
        </w:r>
        <w:r w:rsidR="00871DEE" w:rsidRPr="00E66F98">
          <w:rPr>
            <w:rStyle w:val="Hyperlink"/>
            <w:noProof/>
            <w:lang w:eastAsia="de-DE"/>
          </w:rPr>
          <w:t>Weißfalle mit toten Mehlwürmern (rechts)</w:t>
        </w:r>
        <w:r w:rsidR="00871DEE">
          <w:rPr>
            <w:noProof/>
            <w:webHidden/>
          </w:rPr>
          <w:tab/>
        </w:r>
        <w:r w:rsidR="00871DEE">
          <w:rPr>
            <w:noProof/>
            <w:webHidden/>
          </w:rPr>
          <w:fldChar w:fldCharType="begin"/>
        </w:r>
        <w:r w:rsidR="00871DEE">
          <w:rPr>
            <w:noProof/>
            <w:webHidden/>
          </w:rPr>
          <w:instrText xml:space="preserve"> PAGEREF _Toc7715406 \h </w:instrText>
        </w:r>
        <w:r w:rsidR="00871DEE">
          <w:rPr>
            <w:noProof/>
            <w:webHidden/>
          </w:rPr>
        </w:r>
        <w:r w:rsidR="00871DEE">
          <w:rPr>
            <w:noProof/>
            <w:webHidden/>
          </w:rPr>
          <w:fldChar w:fldCharType="separate"/>
        </w:r>
        <w:r w:rsidR="00871DEE">
          <w:rPr>
            <w:noProof/>
            <w:webHidden/>
          </w:rPr>
          <w:t>31</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07" w:history="1">
        <w:r w:rsidR="00871DEE" w:rsidRPr="00E66F98">
          <w:rPr>
            <w:rStyle w:val="Hyperlink"/>
            <w:noProof/>
          </w:rPr>
          <w:t xml:space="preserve">Abbildung 17: </w:t>
        </w:r>
        <w:r w:rsidR="00871DEE" w:rsidRPr="00E66F98">
          <w:rPr>
            <w:rStyle w:val="Hyperlink"/>
            <w:noProof/>
            <w:lang w:eastAsia="de-DE"/>
          </w:rPr>
          <w:t xml:space="preserve">Präparierte Falcon Tubes nach </w:t>
        </w:r>
        <w:r w:rsidR="00871DEE" w:rsidRPr="00E66F98">
          <w:rPr>
            <w:rStyle w:val="Hyperlink"/>
            <w:noProof/>
          </w:rPr>
          <w:t>Preisser (links)   Abbildung 18: Falcon Tubes in Erdproben eingesetzt (rechts)</w:t>
        </w:r>
        <w:r w:rsidR="00871DEE">
          <w:rPr>
            <w:noProof/>
            <w:webHidden/>
          </w:rPr>
          <w:tab/>
        </w:r>
        <w:r w:rsidR="00871DEE">
          <w:rPr>
            <w:noProof/>
            <w:webHidden/>
          </w:rPr>
          <w:fldChar w:fldCharType="begin"/>
        </w:r>
        <w:r w:rsidR="00871DEE">
          <w:rPr>
            <w:noProof/>
            <w:webHidden/>
          </w:rPr>
          <w:instrText xml:space="preserve"> PAGEREF _Toc7715407 \h </w:instrText>
        </w:r>
        <w:r w:rsidR="00871DEE">
          <w:rPr>
            <w:noProof/>
            <w:webHidden/>
          </w:rPr>
        </w:r>
        <w:r w:rsidR="00871DEE">
          <w:rPr>
            <w:noProof/>
            <w:webHidden/>
          </w:rPr>
          <w:fldChar w:fldCharType="separate"/>
        </w:r>
        <w:r w:rsidR="00871DEE">
          <w:rPr>
            <w:noProof/>
            <w:webHidden/>
          </w:rPr>
          <w:t>32</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08" w:history="1">
        <w:r w:rsidR="00871DEE" w:rsidRPr="00E66F98">
          <w:rPr>
            <w:rStyle w:val="Hyperlink"/>
            <w:noProof/>
          </w:rPr>
          <w:t>Abbildung 19: Photoekletortypen „Kübel“ (links) und „Folienzelt nach Strasser“ (rechts)</w:t>
        </w:r>
        <w:r w:rsidR="00871DEE">
          <w:rPr>
            <w:noProof/>
            <w:webHidden/>
          </w:rPr>
          <w:tab/>
        </w:r>
        <w:r w:rsidR="00871DEE">
          <w:rPr>
            <w:noProof/>
            <w:webHidden/>
          </w:rPr>
          <w:fldChar w:fldCharType="begin"/>
        </w:r>
        <w:r w:rsidR="00871DEE">
          <w:rPr>
            <w:noProof/>
            <w:webHidden/>
          </w:rPr>
          <w:instrText xml:space="preserve"> PAGEREF _Toc7715408 \h </w:instrText>
        </w:r>
        <w:r w:rsidR="00871DEE">
          <w:rPr>
            <w:noProof/>
            <w:webHidden/>
          </w:rPr>
        </w:r>
        <w:r w:rsidR="00871DEE">
          <w:rPr>
            <w:noProof/>
            <w:webHidden/>
          </w:rPr>
          <w:fldChar w:fldCharType="separate"/>
        </w:r>
        <w:r w:rsidR="00871DEE">
          <w:rPr>
            <w:noProof/>
            <w:webHidden/>
          </w:rPr>
          <w:t>33</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09" w:history="1">
        <w:r w:rsidR="00871DEE" w:rsidRPr="00E66F98">
          <w:rPr>
            <w:rStyle w:val="Hyperlink"/>
            <w:noProof/>
          </w:rPr>
          <w:t>Abbildung 20: Nematodenbedingte Mortalität der Mehlkäferlarven in dem Test nach Pilz. Die Ziehung der Erdproben erfolgte 1 Woche nach Ausbringung der insekten-pathogenen Nematoden. Die grüne Linie gibt die Entfernung der Versuchsfelder von der Mur in Metern an. In der Vergleichsvariante Presstopfsubstrat lag die Mortalität bei 0%.</w:t>
        </w:r>
        <w:r w:rsidR="00871DEE">
          <w:rPr>
            <w:noProof/>
            <w:webHidden/>
          </w:rPr>
          <w:tab/>
        </w:r>
        <w:r w:rsidR="00871DEE">
          <w:rPr>
            <w:noProof/>
            <w:webHidden/>
          </w:rPr>
          <w:fldChar w:fldCharType="begin"/>
        </w:r>
        <w:r w:rsidR="00871DEE">
          <w:rPr>
            <w:noProof/>
            <w:webHidden/>
          </w:rPr>
          <w:instrText xml:space="preserve"> PAGEREF _Toc7715409 \h </w:instrText>
        </w:r>
        <w:r w:rsidR="00871DEE">
          <w:rPr>
            <w:noProof/>
            <w:webHidden/>
          </w:rPr>
        </w:r>
        <w:r w:rsidR="00871DEE">
          <w:rPr>
            <w:noProof/>
            <w:webHidden/>
          </w:rPr>
          <w:fldChar w:fldCharType="separate"/>
        </w:r>
        <w:r w:rsidR="00871DEE">
          <w:rPr>
            <w:noProof/>
            <w:webHidden/>
          </w:rPr>
          <w:t>36</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10" w:history="1">
        <w:r w:rsidR="00871DEE" w:rsidRPr="00E66F98">
          <w:rPr>
            <w:rStyle w:val="Hyperlink"/>
            <w:noProof/>
          </w:rPr>
          <w:t>Abbildung 21: Nematodenbedingte Mortalität der Mehlkäferlarven; die Ziehung der Erdproben erfolgte 1 Monat nach Ausbringung der insektenpathogenen Nematoden. Die grüne Linie gibt die Entfernung der Versuchsfelder von der Mur in Metern an. In der Vergleichsvariante Presstopfsubstrat lag die Mortalität bei 0%.</w:t>
        </w:r>
        <w:r w:rsidR="00871DEE">
          <w:rPr>
            <w:noProof/>
            <w:webHidden/>
          </w:rPr>
          <w:tab/>
        </w:r>
        <w:r w:rsidR="00871DEE">
          <w:rPr>
            <w:noProof/>
            <w:webHidden/>
          </w:rPr>
          <w:fldChar w:fldCharType="begin"/>
        </w:r>
        <w:r w:rsidR="00871DEE">
          <w:rPr>
            <w:noProof/>
            <w:webHidden/>
          </w:rPr>
          <w:instrText xml:space="preserve"> PAGEREF _Toc7715410 \h </w:instrText>
        </w:r>
        <w:r w:rsidR="00871DEE">
          <w:rPr>
            <w:noProof/>
            <w:webHidden/>
          </w:rPr>
        </w:r>
        <w:r w:rsidR="00871DEE">
          <w:rPr>
            <w:noProof/>
            <w:webHidden/>
          </w:rPr>
          <w:fldChar w:fldCharType="separate"/>
        </w:r>
        <w:r w:rsidR="00871DEE">
          <w:rPr>
            <w:noProof/>
            <w:webHidden/>
          </w:rPr>
          <w:t>36</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11" w:history="1">
        <w:r w:rsidR="00871DEE" w:rsidRPr="00E66F98">
          <w:rPr>
            <w:rStyle w:val="Hyperlink"/>
            <w:noProof/>
          </w:rPr>
          <w:t>Abbildung 22: Nematodenbedingte Mortalität von Mehlkäferlarven: die Ziehung der Erdproben erfolgte 1 Woche nach Ausbringung der insektenpathogenen Nematoden. Vergleich der Persistenztests nach Pilz et al.(Dosen) und nach Preissler (Falcon Tubes).</w:t>
        </w:r>
        <w:r w:rsidR="00871DEE">
          <w:rPr>
            <w:noProof/>
            <w:webHidden/>
          </w:rPr>
          <w:tab/>
        </w:r>
        <w:r w:rsidR="00871DEE">
          <w:rPr>
            <w:noProof/>
            <w:webHidden/>
          </w:rPr>
          <w:fldChar w:fldCharType="begin"/>
        </w:r>
        <w:r w:rsidR="00871DEE">
          <w:rPr>
            <w:noProof/>
            <w:webHidden/>
          </w:rPr>
          <w:instrText xml:space="preserve"> PAGEREF _Toc7715411 \h </w:instrText>
        </w:r>
        <w:r w:rsidR="00871DEE">
          <w:rPr>
            <w:noProof/>
            <w:webHidden/>
          </w:rPr>
        </w:r>
        <w:r w:rsidR="00871DEE">
          <w:rPr>
            <w:noProof/>
            <w:webHidden/>
          </w:rPr>
          <w:fldChar w:fldCharType="separate"/>
        </w:r>
        <w:r w:rsidR="00871DEE">
          <w:rPr>
            <w:noProof/>
            <w:webHidden/>
          </w:rPr>
          <w:t>37</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12" w:history="1">
        <w:r w:rsidR="00871DEE" w:rsidRPr="00E66F98">
          <w:rPr>
            <w:rStyle w:val="Hyperlink"/>
            <w:noProof/>
          </w:rPr>
          <w:t>Abbildung 23: a. kumulierter Käferschlupf aus Kübel- (links) und b. aus Folienzelt-Photoeklektoren (rechts)</w:t>
        </w:r>
        <w:r w:rsidR="00871DEE">
          <w:rPr>
            <w:noProof/>
            <w:webHidden/>
          </w:rPr>
          <w:tab/>
        </w:r>
        <w:r w:rsidR="00871DEE">
          <w:rPr>
            <w:noProof/>
            <w:webHidden/>
          </w:rPr>
          <w:fldChar w:fldCharType="begin"/>
        </w:r>
        <w:r w:rsidR="00871DEE">
          <w:rPr>
            <w:noProof/>
            <w:webHidden/>
          </w:rPr>
          <w:instrText xml:space="preserve"> PAGEREF _Toc7715412 \h </w:instrText>
        </w:r>
        <w:r w:rsidR="00871DEE">
          <w:rPr>
            <w:noProof/>
            <w:webHidden/>
          </w:rPr>
        </w:r>
        <w:r w:rsidR="00871DEE">
          <w:rPr>
            <w:noProof/>
            <w:webHidden/>
          </w:rPr>
          <w:fldChar w:fldCharType="separate"/>
        </w:r>
        <w:r w:rsidR="00871DEE">
          <w:rPr>
            <w:noProof/>
            <w:webHidden/>
          </w:rPr>
          <w:t>38</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13" w:history="1">
        <w:r w:rsidR="00871DEE" w:rsidRPr="00E66F98">
          <w:rPr>
            <w:rStyle w:val="Hyperlink"/>
            <w:noProof/>
          </w:rPr>
          <w:t xml:space="preserve">Abbildung 24: </w:t>
        </w:r>
        <w:r w:rsidR="00871DEE" w:rsidRPr="00E66F98">
          <w:rPr>
            <w:rStyle w:val="Hyperlink"/>
            <w:noProof/>
            <w:lang w:eastAsia="de-AT"/>
          </w:rPr>
          <w:t>Käferfänge in gelben PALs- (links) und transparenten PAL- Klebefallen (rechts)</w:t>
        </w:r>
        <w:r w:rsidR="00871DEE">
          <w:rPr>
            <w:noProof/>
            <w:webHidden/>
          </w:rPr>
          <w:tab/>
        </w:r>
        <w:r w:rsidR="00871DEE">
          <w:rPr>
            <w:noProof/>
            <w:webHidden/>
          </w:rPr>
          <w:fldChar w:fldCharType="begin"/>
        </w:r>
        <w:r w:rsidR="00871DEE">
          <w:rPr>
            <w:noProof/>
            <w:webHidden/>
          </w:rPr>
          <w:instrText xml:space="preserve"> PAGEREF _Toc7715413 \h </w:instrText>
        </w:r>
        <w:r w:rsidR="00871DEE">
          <w:rPr>
            <w:noProof/>
            <w:webHidden/>
          </w:rPr>
        </w:r>
        <w:r w:rsidR="00871DEE">
          <w:rPr>
            <w:noProof/>
            <w:webHidden/>
          </w:rPr>
          <w:fldChar w:fldCharType="separate"/>
        </w:r>
        <w:r w:rsidR="00871DEE">
          <w:rPr>
            <w:noProof/>
            <w:webHidden/>
          </w:rPr>
          <w:t>38</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14" w:history="1">
        <w:r w:rsidR="00871DEE" w:rsidRPr="00E66F98">
          <w:rPr>
            <w:rStyle w:val="Hyperlink"/>
            <w:noProof/>
          </w:rPr>
          <w:t>Abbildung 25: Käferfänge in Trichterfallen mit Leimring (links) und mit Insektizid (rechts)</w:t>
        </w:r>
        <w:r w:rsidR="00871DEE">
          <w:rPr>
            <w:noProof/>
            <w:webHidden/>
          </w:rPr>
          <w:tab/>
        </w:r>
        <w:r w:rsidR="00871DEE">
          <w:rPr>
            <w:noProof/>
            <w:webHidden/>
          </w:rPr>
          <w:fldChar w:fldCharType="begin"/>
        </w:r>
        <w:r w:rsidR="00871DEE">
          <w:rPr>
            <w:noProof/>
            <w:webHidden/>
          </w:rPr>
          <w:instrText xml:space="preserve"> PAGEREF _Toc7715414 \h </w:instrText>
        </w:r>
        <w:r w:rsidR="00871DEE">
          <w:rPr>
            <w:noProof/>
            <w:webHidden/>
          </w:rPr>
        </w:r>
        <w:r w:rsidR="00871DEE">
          <w:rPr>
            <w:noProof/>
            <w:webHidden/>
          </w:rPr>
          <w:fldChar w:fldCharType="separate"/>
        </w:r>
        <w:r w:rsidR="00871DEE">
          <w:rPr>
            <w:noProof/>
            <w:webHidden/>
          </w:rPr>
          <w:t>39</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15" w:history="1">
        <w:r w:rsidR="00871DEE" w:rsidRPr="00E66F98">
          <w:rPr>
            <w:rStyle w:val="Hyperlink"/>
            <w:noProof/>
          </w:rPr>
          <w:t>Abbildung 26: Käfer pro Pflanze</w:t>
        </w:r>
        <w:r w:rsidR="00871DEE">
          <w:rPr>
            <w:noProof/>
            <w:webHidden/>
          </w:rPr>
          <w:tab/>
        </w:r>
        <w:r w:rsidR="00871DEE">
          <w:rPr>
            <w:noProof/>
            <w:webHidden/>
          </w:rPr>
          <w:fldChar w:fldCharType="begin"/>
        </w:r>
        <w:r w:rsidR="00871DEE">
          <w:rPr>
            <w:noProof/>
            <w:webHidden/>
          </w:rPr>
          <w:instrText xml:space="preserve"> PAGEREF _Toc7715415 \h </w:instrText>
        </w:r>
        <w:r w:rsidR="00871DEE">
          <w:rPr>
            <w:noProof/>
            <w:webHidden/>
          </w:rPr>
        </w:r>
        <w:r w:rsidR="00871DEE">
          <w:rPr>
            <w:noProof/>
            <w:webHidden/>
          </w:rPr>
          <w:fldChar w:fldCharType="separate"/>
        </w:r>
        <w:r w:rsidR="00871DEE">
          <w:rPr>
            <w:noProof/>
            <w:webHidden/>
          </w:rPr>
          <w:t>39</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16" w:history="1">
        <w:r w:rsidR="00871DEE" w:rsidRPr="00E66F98">
          <w:rPr>
            <w:rStyle w:val="Hyperlink"/>
            <w:noProof/>
          </w:rPr>
          <w:t>Abbildung 27: Lagerungsbonitur nach Foltin et al.</w:t>
        </w:r>
        <w:r w:rsidR="00871DEE">
          <w:rPr>
            <w:noProof/>
            <w:webHidden/>
          </w:rPr>
          <w:tab/>
        </w:r>
        <w:r w:rsidR="00871DEE">
          <w:rPr>
            <w:noProof/>
            <w:webHidden/>
          </w:rPr>
          <w:fldChar w:fldCharType="begin"/>
        </w:r>
        <w:r w:rsidR="00871DEE">
          <w:rPr>
            <w:noProof/>
            <w:webHidden/>
          </w:rPr>
          <w:instrText xml:space="preserve"> PAGEREF _Toc7715416 \h </w:instrText>
        </w:r>
        <w:r w:rsidR="00871DEE">
          <w:rPr>
            <w:noProof/>
            <w:webHidden/>
          </w:rPr>
        </w:r>
        <w:r w:rsidR="00871DEE">
          <w:rPr>
            <w:noProof/>
            <w:webHidden/>
          </w:rPr>
          <w:fldChar w:fldCharType="separate"/>
        </w:r>
        <w:r w:rsidR="00871DEE">
          <w:rPr>
            <w:noProof/>
            <w:webHidden/>
          </w:rPr>
          <w:t>40</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17" w:history="1">
        <w:r w:rsidR="00871DEE" w:rsidRPr="00E66F98">
          <w:rPr>
            <w:rStyle w:val="Hyperlink"/>
            <w:noProof/>
          </w:rPr>
          <w:t>Abbildung 28: Schabefraß in Prozent der Blattfläche jeweils ober und unter dem Kolben ausgewertet</w:t>
        </w:r>
        <w:r w:rsidR="00871DEE">
          <w:rPr>
            <w:noProof/>
            <w:webHidden/>
          </w:rPr>
          <w:tab/>
        </w:r>
        <w:r w:rsidR="00871DEE">
          <w:rPr>
            <w:noProof/>
            <w:webHidden/>
          </w:rPr>
          <w:fldChar w:fldCharType="begin"/>
        </w:r>
        <w:r w:rsidR="00871DEE">
          <w:rPr>
            <w:noProof/>
            <w:webHidden/>
          </w:rPr>
          <w:instrText xml:space="preserve"> PAGEREF _Toc7715417 \h </w:instrText>
        </w:r>
        <w:r w:rsidR="00871DEE">
          <w:rPr>
            <w:noProof/>
            <w:webHidden/>
          </w:rPr>
        </w:r>
        <w:r w:rsidR="00871DEE">
          <w:rPr>
            <w:noProof/>
            <w:webHidden/>
          </w:rPr>
          <w:fldChar w:fldCharType="separate"/>
        </w:r>
        <w:r w:rsidR="00871DEE">
          <w:rPr>
            <w:noProof/>
            <w:webHidden/>
          </w:rPr>
          <w:t>40</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18" w:history="1">
        <w:r w:rsidR="00871DEE" w:rsidRPr="00E66F98">
          <w:rPr>
            <w:rStyle w:val="Hyperlink"/>
            <w:noProof/>
          </w:rPr>
          <w:t>Abbildung 29: Ernteertrag in den Varianten des Streifenversuches</w:t>
        </w:r>
        <w:r w:rsidR="00871DEE">
          <w:rPr>
            <w:noProof/>
            <w:webHidden/>
          </w:rPr>
          <w:tab/>
        </w:r>
        <w:r w:rsidR="00871DEE">
          <w:rPr>
            <w:noProof/>
            <w:webHidden/>
          </w:rPr>
          <w:fldChar w:fldCharType="begin"/>
        </w:r>
        <w:r w:rsidR="00871DEE">
          <w:rPr>
            <w:noProof/>
            <w:webHidden/>
          </w:rPr>
          <w:instrText xml:space="preserve"> PAGEREF _Toc7715418 \h </w:instrText>
        </w:r>
        <w:r w:rsidR="00871DEE">
          <w:rPr>
            <w:noProof/>
            <w:webHidden/>
          </w:rPr>
        </w:r>
        <w:r w:rsidR="00871DEE">
          <w:rPr>
            <w:noProof/>
            <w:webHidden/>
          </w:rPr>
          <w:fldChar w:fldCharType="separate"/>
        </w:r>
        <w:r w:rsidR="00871DEE">
          <w:rPr>
            <w:noProof/>
            <w:webHidden/>
          </w:rPr>
          <w:t>41</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19" w:history="1">
        <w:r w:rsidR="00871DEE" w:rsidRPr="00E66F98">
          <w:rPr>
            <w:rStyle w:val="Hyperlink"/>
            <w:noProof/>
          </w:rPr>
          <w:t>Abbildung 30: Luftaufnahme des Streifenversuches mit Variantenbeschriftung (Ansicht von links in Richtung Westen)</w:t>
        </w:r>
        <w:r w:rsidR="00871DEE">
          <w:rPr>
            <w:noProof/>
            <w:webHidden/>
          </w:rPr>
          <w:tab/>
        </w:r>
        <w:r w:rsidR="00871DEE">
          <w:rPr>
            <w:noProof/>
            <w:webHidden/>
          </w:rPr>
          <w:fldChar w:fldCharType="begin"/>
        </w:r>
        <w:r w:rsidR="00871DEE">
          <w:rPr>
            <w:noProof/>
            <w:webHidden/>
          </w:rPr>
          <w:instrText xml:space="preserve"> PAGEREF _Toc7715419 \h </w:instrText>
        </w:r>
        <w:r w:rsidR="00871DEE">
          <w:rPr>
            <w:noProof/>
            <w:webHidden/>
          </w:rPr>
        </w:r>
        <w:r w:rsidR="00871DEE">
          <w:rPr>
            <w:noProof/>
            <w:webHidden/>
          </w:rPr>
          <w:fldChar w:fldCharType="separate"/>
        </w:r>
        <w:r w:rsidR="00871DEE">
          <w:rPr>
            <w:noProof/>
            <w:webHidden/>
          </w:rPr>
          <w:t>41</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20" w:history="1">
        <w:r w:rsidR="00871DEE" w:rsidRPr="00E66F98">
          <w:rPr>
            <w:rStyle w:val="Hyperlink"/>
            <w:noProof/>
          </w:rPr>
          <w:t>Abbildung 31: Luftaufnahme des Streifenversuches mit Variantenbeschriftung (Ansicht von rechts in Richtung Westen)</w:t>
        </w:r>
        <w:r w:rsidR="00871DEE">
          <w:rPr>
            <w:noProof/>
            <w:webHidden/>
          </w:rPr>
          <w:tab/>
        </w:r>
        <w:r w:rsidR="00871DEE">
          <w:rPr>
            <w:noProof/>
            <w:webHidden/>
          </w:rPr>
          <w:fldChar w:fldCharType="begin"/>
        </w:r>
        <w:r w:rsidR="00871DEE">
          <w:rPr>
            <w:noProof/>
            <w:webHidden/>
          </w:rPr>
          <w:instrText xml:space="preserve"> PAGEREF _Toc7715420 \h </w:instrText>
        </w:r>
        <w:r w:rsidR="00871DEE">
          <w:rPr>
            <w:noProof/>
            <w:webHidden/>
          </w:rPr>
        </w:r>
        <w:r w:rsidR="00871DEE">
          <w:rPr>
            <w:noProof/>
            <w:webHidden/>
          </w:rPr>
          <w:fldChar w:fldCharType="separate"/>
        </w:r>
        <w:r w:rsidR="00871DEE">
          <w:rPr>
            <w:noProof/>
            <w:webHidden/>
          </w:rPr>
          <w:t>42</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21" w:history="1">
        <w:r w:rsidR="00871DEE" w:rsidRPr="00E66F98">
          <w:rPr>
            <w:rStyle w:val="Hyperlink"/>
            <w:noProof/>
          </w:rPr>
          <w:t>Abbildung 32: Mittelwert des Käferschlupfes in den Photoeklektoren und –Käferfanges in PAL-Klebefallen der untersuchten Felder. Farbcode: blau = mit Dianem behandeltes Feld bzw. Dianem-behandelte Variante eines Streifenversuches; gelb = mit Belem behandeltes Feld in direkter Nachbarschaft eines Dianem-behandelten Feldes bzw. Belem-behandelte Variante eines Streifenversuches; rot = unbehandelte Kontrolle eines Streifenversuches.</w:t>
        </w:r>
        <w:r w:rsidR="00871DEE">
          <w:rPr>
            <w:noProof/>
            <w:webHidden/>
          </w:rPr>
          <w:tab/>
        </w:r>
        <w:r w:rsidR="00871DEE">
          <w:rPr>
            <w:noProof/>
            <w:webHidden/>
          </w:rPr>
          <w:fldChar w:fldCharType="begin"/>
        </w:r>
        <w:r w:rsidR="00871DEE">
          <w:rPr>
            <w:noProof/>
            <w:webHidden/>
          </w:rPr>
          <w:instrText xml:space="preserve"> PAGEREF _Toc7715421 \h </w:instrText>
        </w:r>
        <w:r w:rsidR="00871DEE">
          <w:rPr>
            <w:noProof/>
            <w:webHidden/>
          </w:rPr>
        </w:r>
        <w:r w:rsidR="00871DEE">
          <w:rPr>
            <w:noProof/>
            <w:webHidden/>
          </w:rPr>
          <w:fldChar w:fldCharType="separate"/>
        </w:r>
        <w:r w:rsidR="00871DEE">
          <w:rPr>
            <w:noProof/>
            <w:webHidden/>
          </w:rPr>
          <w:t>43</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22" w:history="1">
        <w:r w:rsidR="00871DEE" w:rsidRPr="00E66F98">
          <w:rPr>
            <w:rStyle w:val="Hyperlink"/>
            <w:noProof/>
          </w:rPr>
          <w:t>Abbildung 33: Lagerung der Maispflanzen in Abhängigkeit zur Entfernung der Mur</w:t>
        </w:r>
        <w:r w:rsidR="00871DEE">
          <w:rPr>
            <w:noProof/>
            <w:webHidden/>
          </w:rPr>
          <w:tab/>
        </w:r>
        <w:r w:rsidR="00871DEE">
          <w:rPr>
            <w:noProof/>
            <w:webHidden/>
          </w:rPr>
          <w:fldChar w:fldCharType="begin"/>
        </w:r>
        <w:r w:rsidR="00871DEE">
          <w:rPr>
            <w:noProof/>
            <w:webHidden/>
          </w:rPr>
          <w:instrText xml:space="preserve"> PAGEREF _Toc7715422 \h </w:instrText>
        </w:r>
        <w:r w:rsidR="00871DEE">
          <w:rPr>
            <w:noProof/>
            <w:webHidden/>
          </w:rPr>
        </w:r>
        <w:r w:rsidR="00871DEE">
          <w:rPr>
            <w:noProof/>
            <w:webHidden/>
          </w:rPr>
          <w:fldChar w:fldCharType="separate"/>
        </w:r>
        <w:r w:rsidR="00871DEE">
          <w:rPr>
            <w:noProof/>
            <w:webHidden/>
          </w:rPr>
          <w:t>44</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23" w:history="1">
        <w:r w:rsidR="00871DEE" w:rsidRPr="00E66F98">
          <w:rPr>
            <w:rStyle w:val="Hyperlink"/>
            <w:noProof/>
          </w:rPr>
          <w:t>Abbildung 34: Lagerung des Maises in Abhängigkeit der Pflanzenschutzmaßnahme ohne Standort Lichendorf 1 (Sturmschaden)</w:t>
        </w:r>
        <w:r w:rsidR="00871DEE">
          <w:rPr>
            <w:noProof/>
            <w:webHidden/>
          </w:rPr>
          <w:tab/>
        </w:r>
        <w:r w:rsidR="00871DEE">
          <w:rPr>
            <w:noProof/>
            <w:webHidden/>
          </w:rPr>
          <w:fldChar w:fldCharType="begin"/>
        </w:r>
        <w:r w:rsidR="00871DEE">
          <w:rPr>
            <w:noProof/>
            <w:webHidden/>
          </w:rPr>
          <w:instrText xml:space="preserve"> PAGEREF _Toc7715423 \h </w:instrText>
        </w:r>
        <w:r w:rsidR="00871DEE">
          <w:rPr>
            <w:noProof/>
            <w:webHidden/>
          </w:rPr>
        </w:r>
        <w:r w:rsidR="00871DEE">
          <w:rPr>
            <w:noProof/>
            <w:webHidden/>
          </w:rPr>
          <w:fldChar w:fldCharType="separate"/>
        </w:r>
        <w:r w:rsidR="00871DEE">
          <w:rPr>
            <w:noProof/>
            <w:webHidden/>
          </w:rPr>
          <w:t>45</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24" w:history="1">
        <w:r w:rsidR="00871DEE" w:rsidRPr="00E66F98">
          <w:rPr>
            <w:rStyle w:val="Hyperlink"/>
            <w:noProof/>
          </w:rPr>
          <w:t>Abbildung 35: Ernteerträge der beiden Streifenversuche in kg Trockengewicht Hektarertrag.</w:t>
        </w:r>
        <w:r w:rsidR="00871DEE">
          <w:rPr>
            <w:noProof/>
            <w:webHidden/>
          </w:rPr>
          <w:tab/>
        </w:r>
        <w:r w:rsidR="00871DEE">
          <w:rPr>
            <w:noProof/>
            <w:webHidden/>
          </w:rPr>
          <w:fldChar w:fldCharType="begin"/>
        </w:r>
        <w:r w:rsidR="00871DEE">
          <w:rPr>
            <w:noProof/>
            <w:webHidden/>
          </w:rPr>
          <w:instrText xml:space="preserve"> PAGEREF _Toc7715424 \h </w:instrText>
        </w:r>
        <w:r w:rsidR="00871DEE">
          <w:rPr>
            <w:noProof/>
            <w:webHidden/>
          </w:rPr>
        </w:r>
        <w:r w:rsidR="00871DEE">
          <w:rPr>
            <w:noProof/>
            <w:webHidden/>
          </w:rPr>
          <w:fldChar w:fldCharType="separate"/>
        </w:r>
        <w:r w:rsidR="00871DEE">
          <w:rPr>
            <w:noProof/>
            <w:webHidden/>
          </w:rPr>
          <w:t>45</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25" w:history="1">
        <w:r w:rsidR="00871DEE" w:rsidRPr="00E66F98">
          <w:rPr>
            <w:rStyle w:val="Hyperlink"/>
            <w:noProof/>
          </w:rPr>
          <w:t xml:space="preserve">Abbildung 36: </w:t>
        </w:r>
        <w:r w:rsidR="00871DEE" w:rsidRPr="00E66F98">
          <w:rPr>
            <w:rStyle w:val="Hyperlink"/>
            <w:noProof/>
            <w:lang w:eastAsia="de-DE"/>
          </w:rPr>
          <w:t>Befall durch den MWB im 4. Standjahr unter Berücksichtigung der Vorfrüchte</w:t>
        </w:r>
        <w:r w:rsidR="00871DEE">
          <w:rPr>
            <w:noProof/>
            <w:webHidden/>
          </w:rPr>
          <w:tab/>
        </w:r>
        <w:r w:rsidR="00871DEE">
          <w:rPr>
            <w:noProof/>
            <w:webHidden/>
          </w:rPr>
          <w:fldChar w:fldCharType="begin"/>
        </w:r>
        <w:r w:rsidR="00871DEE">
          <w:rPr>
            <w:noProof/>
            <w:webHidden/>
          </w:rPr>
          <w:instrText xml:space="preserve"> PAGEREF _Toc7715425 \h </w:instrText>
        </w:r>
        <w:r w:rsidR="00871DEE">
          <w:rPr>
            <w:noProof/>
            <w:webHidden/>
          </w:rPr>
        </w:r>
        <w:r w:rsidR="00871DEE">
          <w:rPr>
            <w:noProof/>
            <w:webHidden/>
          </w:rPr>
          <w:fldChar w:fldCharType="separate"/>
        </w:r>
        <w:r w:rsidR="00871DEE">
          <w:rPr>
            <w:noProof/>
            <w:webHidden/>
          </w:rPr>
          <w:t>48</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26" w:history="1">
        <w:r w:rsidR="00871DEE" w:rsidRPr="00E66F98">
          <w:rPr>
            <w:rStyle w:val="Hyperlink"/>
            <w:noProof/>
          </w:rPr>
          <w:t xml:space="preserve">Abbildung 37: </w:t>
        </w:r>
        <w:r w:rsidR="00871DEE" w:rsidRPr="00E66F98">
          <w:rPr>
            <w:rStyle w:val="Hyperlink"/>
            <w:noProof/>
            <w:lang w:eastAsia="de-DE"/>
          </w:rPr>
          <w:t>Befallsgrad der Kultur gefiltert nach Beobachtungsjahren</w:t>
        </w:r>
        <w:r w:rsidR="00871DEE">
          <w:rPr>
            <w:noProof/>
            <w:webHidden/>
          </w:rPr>
          <w:tab/>
        </w:r>
        <w:r w:rsidR="00871DEE">
          <w:rPr>
            <w:noProof/>
            <w:webHidden/>
          </w:rPr>
          <w:fldChar w:fldCharType="begin"/>
        </w:r>
        <w:r w:rsidR="00871DEE">
          <w:rPr>
            <w:noProof/>
            <w:webHidden/>
          </w:rPr>
          <w:instrText xml:space="preserve"> PAGEREF _Toc7715426 \h </w:instrText>
        </w:r>
        <w:r w:rsidR="00871DEE">
          <w:rPr>
            <w:noProof/>
            <w:webHidden/>
          </w:rPr>
        </w:r>
        <w:r w:rsidR="00871DEE">
          <w:rPr>
            <w:noProof/>
            <w:webHidden/>
          </w:rPr>
          <w:fldChar w:fldCharType="separate"/>
        </w:r>
        <w:r w:rsidR="00871DEE">
          <w:rPr>
            <w:noProof/>
            <w:webHidden/>
          </w:rPr>
          <w:t>49</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27" w:history="1">
        <w:r w:rsidR="00871DEE" w:rsidRPr="00E66F98">
          <w:rPr>
            <w:rStyle w:val="Hyperlink"/>
            <w:noProof/>
          </w:rPr>
          <w:t xml:space="preserve">Abbildung 38: </w:t>
        </w:r>
        <w:r w:rsidR="00871DEE" w:rsidRPr="00E66F98">
          <w:rPr>
            <w:rStyle w:val="Hyperlink"/>
            <w:noProof/>
            <w:lang w:eastAsia="de-DE"/>
          </w:rPr>
          <w:t>Prozentsatz lagernder Pflanzen in Abhängigkeit der Vorkulturen</w:t>
        </w:r>
        <w:r w:rsidR="00871DEE">
          <w:rPr>
            <w:noProof/>
            <w:webHidden/>
          </w:rPr>
          <w:tab/>
        </w:r>
        <w:r w:rsidR="00871DEE">
          <w:rPr>
            <w:noProof/>
            <w:webHidden/>
          </w:rPr>
          <w:fldChar w:fldCharType="begin"/>
        </w:r>
        <w:r w:rsidR="00871DEE">
          <w:rPr>
            <w:noProof/>
            <w:webHidden/>
          </w:rPr>
          <w:instrText xml:space="preserve"> PAGEREF _Toc7715427 \h </w:instrText>
        </w:r>
        <w:r w:rsidR="00871DEE">
          <w:rPr>
            <w:noProof/>
            <w:webHidden/>
          </w:rPr>
        </w:r>
        <w:r w:rsidR="00871DEE">
          <w:rPr>
            <w:noProof/>
            <w:webHidden/>
          </w:rPr>
          <w:fldChar w:fldCharType="separate"/>
        </w:r>
        <w:r w:rsidR="00871DEE">
          <w:rPr>
            <w:noProof/>
            <w:webHidden/>
          </w:rPr>
          <w:t>49</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28" w:history="1">
        <w:r w:rsidR="00871DEE" w:rsidRPr="00E66F98">
          <w:rPr>
            <w:rStyle w:val="Hyperlink"/>
            <w:noProof/>
          </w:rPr>
          <w:t xml:space="preserve">Abbildung 39: </w:t>
        </w:r>
        <w:r w:rsidR="00871DEE" w:rsidRPr="00E66F98">
          <w:rPr>
            <w:rStyle w:val="Hyperlink"/>
            <w:noProof/>
            <w:lang w:eastAsia="de-DE"/>
          </w:rPr>
          <w:t>Prozentsatz liegender Pflanzen pro Feld bei genannten Maissorten</w:t>
        </w:r>
        <w:r w:rsidR="00871DEE">
          <w:rPr>
            <w:noProof/>
            <w:webHidden/>
          </w:rPr>
          <w:tab/>
        </w:r>
        <w:r w:rsidR="00871DEE">
          <w:rPr>
            <w:noProof/>
            <w:webHidden/>
          </w:rPr>
          <w:fldChar w:fldCharType="begin"/>
        </w:r>
        <w:r w:rsidR="00871DEE">
          <w:rPr>
            <w:noProof/>
            <w:webHidden/>
          </w:rPr>
          <w:instrText xml:space="preserve"> PAGEREF _Toc7715428 \h </w:instrText>
        </w:r>
        <w:r w:rsidR="00871DEE">
          <w:rPr>
            <w:noProof/>
            <w:webHidden/>
          </w:rPr>
        </w:r>
        <w:r w:rsidR="00871DEE">
          <w:rPr>
            <w:noProof/>
            <w:webHidden/>
          </w:rPr>
          <w:fldChar w:fldCharType="separate"/>
        </w:r>
        <w:r w:rsidR="00871DEE">
          <w:rPr>
            <w:noProof/>
            <w:webHidden/>
          </w:rPr>
          <w:t>50</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29" w:history="1">
        <w:r w:rsidR="00871DEE" w:rsidRPr="00E66F98">
          <w:rPr>
            <w:rStyle w:val="Hyperlink"/>
            <w:noProof/>
          </w:rPr>
          <w:t xml:space="preserve">Abbildung 40: </w:t>
        </w:r>
        <w:r w:rsidR="00871DEE" w:rsidRPr="00E66F98">
          <w:rPr>
            <w:rStyle w:val="Hyperlink"/>
            <w:noProof/>
            <w:lang w:eastAsia="de-DE"/>
          </w:rPr>
          <w:t>Befall im Beobachtungsjahr in Abhängigkeit der angewandten Pflanzenschutzmaßnahme und dem Befallsdruck aus dem Vorjahr.</w:t>
        </w:r>
        <w:r w:rsidR="00871DEE">
          <w:rPr>
            <w:noProof/>
            <w:webHidden/>
          </w:rPr>
          <w:tab/>
        </w:r>
        <w:r w:rsidR="00871DEE">
          <w:rPr>
            <w:noProof/>
            <w:webHidden/>
          </w:rPr>
          <w:fldChar w:fldCharType="begin"/>
        </w:r>
        <w:r w:rsidR="00871DEE">
          <w:rPr>
            <w:noProof/>
            <w:webHidden/>
          </w:rPr>
          <w:instrText xml:space="preserve"> PAGEREF _Toc7715429 \h </w:instrText>
        </w:r>
        <w:r w:rsidR="00871DEE">
          <w:rPr>
            <w:noProof/>
            <w:webHidden/>
          </w:rPr>
        </w:r>
        <w:r w:rsidR="00871DEE">
          <w:rPr>
            <w:noProof/>
            <w:webHidden/>
          </w:rPr>
          <w:fldChar w:fldCharType="separate"/>
        </w:r>
        <w:r w:rsidR="00871DEE">
          <w:rPr>
            <w:noProof/>
            <w:webHidden/>
          </w:rPr>
          <w:t>50</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30" w:history="1">
        <w:r w:rsidR="00871DEE" w:rsidRPr="00E66F98">
          <w:rPr>
            <w:rStyle w:val="Hyperlink"/>
            <w:noProof/>
          </w:rPr>
          <w:t xml:space="preserve">Abbildung 41: Befallsgrad (oben) und </w:t>
        </w:r>
        <w:r w:rsidR="00871DEE" w:rsidRPr="00E66F98">
          <w:rPr>
            <w:rStyle w:val="Hyperlink"/>
            <w:noProof/>
            <w:lang w:eastAsia="de-DE"/>
          </w:rPr>
          <w:t>Lagerung des Maises (unten) in Abhängigkeit des Maisjahres und der Pflanzenschutzmaßnahme</w:t>
        </w:r>
        <w:r w:rsidR="00871DEE">
          <w:rPr>
            <w:noProof/>
            <w:webHidden/>
          </w:rPr>
          <w:tab/>
        </w:r>
        <w:r w:rsidR="00871DEE">
          <w:rPr>
            <w:noProof/>
            <w:webHidden/>
          </w:rPr>
          <w:fldChar w:fldCharType="begin"/>
        </w:r>
        <w:r w:rsidR="00871DEE">
          <w:rPr>
            <w:noProof/>
            <w:webHidden/>
          </w:rPr>
          <w:instrText xml:space="preserve"> PAGEREF _Toc7715430 \h </w:instrText>
        </w:r>
        <w:r w:rsidR="00871DEE">
          <w:rPr>
            <w:noProof/>
            <w:webHidden/>
          </w:rPr>
        </w:r>
        <w:r w:rsidR="00871DEE">
          <w:rPr>
            <w:noProof/>
            <w:webHidden/>
          </w:rPr>
          <w:fldChar w:fldCharType="separate"/>
        </w:r>
        <w:r w:rsidR="00871DEE">
          <w:rPr>
            <w:noProof/>
            <w:webHidden/>
          </w:rPr>
          <w:t>51</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31" w:history="1">
        <w:r w:rsidR="00871DEE" w:rsidRPr="00E66F98">
          <w:rPr>
            <w:rStyle w:val="Hyperlink"/>
            <w:noProof/>
          </w:rPr>
          <w:t xml:space="preserve">Abbildung 42: </w:t>
        </w:r>
        <w:r w:rsidR="00871DEE" w:rsidRPr="00E66F98">
          <w:rPr>
            <w:rStyle w:val="Hyperlink"/>
            <w:noProof/>
            <w:lang w:eastAsia="de-DE"/>
          </w:rPr>
          <w:t>Lagerung des Maises in Abhängigkeit von Vorjahresdruck und Pflanzenschutzmaßnahme</w:t>
        </w:r>
        <w:r w:rsidR="00871DEE">
          <w:rPr>
            <w:noProof/>
            <w:webHidden/>
          </w:rPr>
          <w:tab/>
        </w:r>
        <w:r w:rsidR="00871DEE">
          <w:rPr>
            <w:noProof/>
            <w:webHidden/>
          </w:rPr>
          <w:fldChar w:fldCharType="begin"/>
        </w:r>
        <w:r w:rsidR="00871DEE">
          <w:rPr>
            <w:noProof/>
            <w:webHidden/>
          </w:rPr>
          <w:instrText xml:space="preserve"> PAGEREF _Toc7715431 \h </w:instrText>
        </w:r>
        <w:r w:rsidR="00871DEE">
          <w:rPr>
            <w:noProof/>
            <w:webHidden/>
          </w:rPr>
        </w:r>
        <w:r w:rsidR="00871DEE">
          <w:rPr>
            <w:noProof/>
            <w:webHidden/>
          </w:rPr>
          <w:fldChar w:fldCharType="separate"/>
        </w:r>
        <w:r w:rsidR="00871DEE">
          <w:rPr>
            <w:noProof/>
            <w:webHidden/>
          </w:rPr>
          <w:t>51</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32" w:history="1">
        <w:r w:rsidR="00871DEE" w:rsidRPr="00E66F98">
          <w:rPr>
            <w:rStyle w:val="Hyperlink"/>
            <w:noProof/>
          </w:rPr>
          <w:t xml:space="preserve">Abbildung 43: </w:t>
        </w:r>
        <w:r w:rsidR="00871DEE" w:rsidRPr="00E66F98">
          <w:rPr>
            <w:rStyle w:val="Hyperlink"/>
            <w:noProof/>
            <w:lang w:eastAsia="de-DE"/>
          </w:rPr>
          <w:t>links L. muscarium (Mycotal) und rechts L. lecanii (Eigenisolat)</w:t>
        </w:r>
        <w:r w:rsidR="00871DEE">
          <w:rPr>
            <w:noProof/>
            <w:webHidden/>
          </w:rPr>
          <w:tab/>
        </w:r>
        <w:r w:rsidR="00871DEE">
          <w:rPr>
            <w:noProof/>
            <w:webHidden/>
          </w:rPr>
          <w:fldChar w:fldCharType="begin"/>
        </w:r>
        <w:r w:rsidR="00871DEE">
          <w:rPr>
            <w:noProof/>
            <w:webHidden/>
          </w:rPr>
          <w:instrText xml:space="preserve"> PAGEREF _Toc7715432 \h </w:instrText>
        </w:r>
        <w:r w:rsidR="00871DEE">
          <w:rPr>
            <w:noProof/>
            <w:webHidden/>
          </w:rPr>
        </w:r>
        <w:r w:rsidR="00871DEE">
          <w:rPr>
            <w:noProof/>
            <w:webHidden/>
          </w:rPr>
          <w:fldChar w:fldCharType="separate"/>
        </w:r>
        <w:r w:rsidR="00871DEE">
          <w:rPr>
            <w:noProof/>
            <w:webHidden/>
          </w:rPr>
          <w:t>53</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33" w:history="1">
        <w:r w:rsidR="00871DEE" w:rsidRPr="00E66F98">
          <w:rPr>
            <w:rStyle w:val="Hyperlink"/>
            <w:noProof/>
          </w:rPr>
          <w:t xml:space="preserve">Abbildung 44: </w:t>
        </w:r>
        <w:r w:rsidR="00871DEE" w:rsidRPr="00E66F98">
          <w:rPr>
            <w:rStyle w:val="Hyperlink"/>
            <w:noProof/>
            <w:lang w:eastAsia="de-DE"/>
          </w:rPr>
          <w:t>Myzelwachstumsrate [mm/d] bei unterschiedlichen Temperaturen</w:t>
        </w:r>
        <w:r w:rsidR="00871DEE">
          <w:rPr>
            <w:noProof/>
            <w:webHidden/>
          </w:rPr>
          <w:tab/>
        </w:r>
        <w:r w:rsidR="00871DEE">
          <w:rPr>
            <w:noProof/>
            <w:webHidden/>
          </w:rPr>
          <w:fldChar w:fldCharType="begin"/>
        </w:r>
        <w:r w:rsidR="00871DEE">
          <w:rPr>
            <w:noProof/>
            <w:webHidden/>
          </w:rPr>
          <w:instrText xml:space="preserve"> PAGEREF _Toc7715433 \h </w:instrText>
        </w:r>
        <w:r w:rsidR="00871DEE">
          <w:rPr>
            <w:noProof/>
            <w:webHidden/>
          </w:rPr>
        </w:r>
        <w:r w:rsidR="00871DEE">
          <w:rPr>
            <w:noProof/>
            <w:webHidden/>
          </w:rPr>
          <w:fldChar w:fldCharType="separate"/>
        </w:r>
        <w:r w:rsidR="00871DEE">
          <w:rPr>
            <w:noProof/>
            <w:webHidden/>
          </w:rPr>
          <w:t>54</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34" w:history="1">
        <w:r w:rsidR="00871DEE" w:rsidRPr="00E66F98">
          <w:rPr>
            <w:rStyle w:val="Hyperlink"/>
            <w:noProof/>
          </w:rPr>
          <w:t xml:space="preserve">Abbildung 45: </w:t>
        </w:r>
        <w:r w:rsidR="00871DEE" w:rsidRPr="00E66F98">
          <w:rPr>
            <w:rStyle w:val="Hyperlink"/>
            <w:noProof/>
            <w:lang w:eastAsia="de-DE"/>
          </w:rPr>
          <w:t>Sporenkeimungsrate [%] bei unterschiedlichen Temperaturen</w:t>
        </w:r>
        <w:r w:rsidR="00871DEE">
          <w:rPr>
            <w:noProof/>
            <w:webHidden/>
          </w:rPr>
          <w:tab/>
        </w:r>
        <w:r w:rsidR="00871DEE">
          <w:rPr>
            <w:noProof/>
            <w:webHidden/>
          </w:rPr>
          <w:fldChar w:fldCharType="begin"/>
        </w:r>
        <w:r w:rsidR="00871DEE">
          <w:rPr>
            <w:noProof/>
            <w:webHidden/>
          </w:rPr>
          <w:instrText xml:space="preserve"> PAGEREF _Toc7715434 \h </w:instrText>
        </w:r>
        <w:r w:rsidR="00871DEE">
          <w:rPr>
            <w:noProof/>
            <w:webHidden/>
          </w:rPr>
        </w:r>
        <w:r w:rsidR="00871DEE">
          <w:rPr>
            <w:noProof/>
            <w:webHidden/>
          </w:rPr>
          <w:fldChar w:fldCharType="separate"/>
        </w:r>
        <w:r w:rsidR="00871DEE">
          <w:rPr>
            <w:noProof/>
            <w:webHidden/>
          </w:rPr>
          <w:t>55</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35" w:history="1">
        <w:r w:rsidR="00871DEE" w:rsidRPr="00E66F98">
          <w:rPr>
            <w:rStyle w:val="Hyperlink"/>
            <w:noProof/>
          </w:rPr>
          <w:t xml:space="preserve">Abbildung 46: </w:t>
        </w:r>
        <w:r w:rsidR="00871DEE" w:rsidRPr="00E66F98">
          <w:rPr>
            <w:rStyle w:val="Hyperlink"/>
            <w:noProof/>
            <w:lang w:eastAsia="de-DE"/>
          </w:rPr>
          <w:t>Luftbild der Versuchsfläche in St. Margarethen</w:t>
        </w:r>
        <w:r w:rsidR="00871DEE">
          <w:rPr>
            <w:noProof/>
            <w:webHidden/>
          </w:rPr>
          <w:tab/>
        </w:r>
        <w:r w:rsidR="00871DEE">
          <w:rPr>
            <w:noProof/>
            <w:webHidden/>
          </w:rPr>
          <w:fldChar w:fldCharType="begin"/>
        </w:r>
        <w:r w:rsidR="00871DEE">
          <w:rPr>
            <w:noProof/>
            <w:webHidden/>
          </w:rPr>
          <w:instrText xml:space="preserve"> PAGEREF _Toc7715435 \h </w:instrText>
        </w:r>
        <w:r w:rsidR="00871DEE">
          <w:rPr>
            <w:noProof/>
            <w:webHidden/>
          </w:rPr>
        </w:r>
        <w:r w:rsidR="00871DEE">
          <w:rPr>
            <w:noProof/>
            <w:webHidden/>
          </w:rPr>
          <w:fldChar w:fldCharType="separate"/>
        </w:r>
        <w:r w:rsidR="00871DEE">
          <w:rPr>
            <w:noProof/>
            <w:webHidden/>
          </w:rPr>
          <w:t>57</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36" w:history="1">
        <w:r w:rsidR="00871DEE" w:rsidRPr="00E66F98">
          <w:rPr>
            <w:rStyle w:val="Hyperlink"/>
            <w:noProof/>
          </w:rPr>
          <w:t xml:space="preserve">Abbildung 47: </w:t>
        </w:r>
        <w:r w:rsidR="00871DEE" w:rsidRPr="00E66F98">
          <w:rPr>
            <w:rStyle w:val="Hyperlink"/>
            <w:noProof/>
            <w:lang w:eastAsia="de-DE"/>
          </w:rPr>
          <w:t>Versuchsplan Standort St. Margarethen. UK=unbehandelt, PG=Lecanicillium in Pilzgerste, KS=Lecanicillium in Katzenstreu</w:t>
        </w:r>
        <w:r w:rsidR="00871DEE">
          <w:rPr>
            <w:noProof/>
            <w:webHidden/>
          </w:rPr>
          <w:tab/>
        </w:r>
        <w:r w:rsidR="00871DEE">
          <w:rPr>
            <w:noProof/>
            <w:webHidden/>
          </w:rPr>
          <w:fldChar w:fldCharType="begin"/>
        </w:r>
        <w:r w:rsidR="00871DEE">
          <w:rPr>
            <w:noProof/>
            <w:webHidden/>
          </w:rPr>
          <w:instrText xml:space="preserve"> PAGEREF _Toc7715436 \h </w:instrText>
        </w:r>
        <w:r w:rsidR="00871DEE">
          <w:rPr>
            <w:noProof/>
            <w:webHidden/>
          </w:rPr>
        </w:r>
        <w:r w:rsidR="00871DEE">
          <w:rPr>
            <w:noProof/>
            <w:webHidden/>
          </w:rPr>
          <w:fldChar w:fldCharType="separate"/>
        </w:r>
        <w:r w:rsidR="00871DEE">
          <w:rPr>
            <w:noProof/>
            <w:webHidden/>
          </w:rPr>
          <w:t>57</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37" w:history="1">
        <w:r w:rsidR="00871DEE" w:rsidRPr="00E66F98">
          <w:rPr>
            <w:rStyle w:val="Hyperlink"/>
            <w:noProof/>
          </w:rPr>
          <w:t xml:space="preserve">Abbildung 48: </w:t>
        </w:r>
        <w:r w:rsidR="00871DEE" w:rsidRPr="00E66F98">
          <w:rPr>
            <w:rStyle w:val="Hyperlink"/>
            <w:noProof/>
            <w:lang w:eastAsia="de-DE"/>
          </w:rPr>
          <w:t>Luftbild der Versuchsfläche in Seibersdorf bei St.Veit</w:t>
        </w:r>
        <w:r w:rsidR="00871DEE">
          <w:rPr>
            <w:noProof/>
            <w:webHidden/>
          </w:rPr>
          <w:tab/>
        </w:r>
        <w:r w:rsidR="00871DEE">
          <w:rPr>
            <w:noProof/>
            <w:webHidden/>
          </w:rPr>
          <w:fldChar w:fldCharType="begin"/>
        </w:r>
        <w:r w:rsidR="00871DEE">
          <w:rPr>
            <w:noProof/>
            <w:webHidden/>
          </w:rPr>
          <w:instrText xml:space="preserve"> PAGEREF _Toc7715437 \h </w:instrText>
        </w:r>
        <w:r w:rsidR="00871DEE">
          <w:rPr>
            <w:noProof/>
            <w:webHidden/>
          </w:rPr>
        </w:r>
        <w:r w:rsidR="00871DEE">
          <w:rPr>
            <w:noProof/>
            <w:webHidden/>
          </w:rPr>
          <w:fldChar w:fldCharType="separate"/>
        </w:r>
        <w:r w:rsidR="00871DEE">
          <w:rPr>
            <w:noProof/>
            <w:webHidden/>
          </w:rPr>
          <w:t>58</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38" w:history="1">
        <w:r w:rsidR="00871DEE" w:rsidRPr="00E66F98">
          <w:rPr>
            <w:rStyle w:val="Hyperlink"/>
            <w:noProof/>
          </w:rPr>
          <w:t xml:space="preserve">Abbildung 49 (oben) </w:t>
        </w:r>
        <w:r w:rsidR="00871DEE" w:rsidRPr="00E66F98">
          <w:rPr>
            <w:rStyle w:val="Hyperlink"/>
            <w:noProof/>
            <w:lang w:eastAsia="de-DE"/>
          </w:rPr>
          <w:t xml:space="preserve">Luftbild der Versuchsfläche in Donnersdorf </w:t>
        </w:r>
        <w:r w:rsidR="00871DEE" w:rsidRPr="00E66F98">
          <w:rPr>
            <w:rStyle w:val="Hyperlink"/>
            <w:noProof/>
          </w:rPr>
          <w:t xml:space="preserve">und Abbildung 50 (rechts): </w:t>
        </w:r>
        <w:r w:rsidR="00871DEE" w:rsidRPr="00E66F98">
          <w:rPr>
            <w:rStyle w:val="Hyperlink"/>
            <w:noProof/>
            <w:lang w:eastAsia="de-DE"/>
          </w:rPr>
          <w:t>Versuchsplan der Versuchsfläche in Donnersdorf (rechts)</w:t>
        </w:r>
        <w:r w:rsidR="00871DEE">
          <w:rPr>
            <w:noProof/>
            <w:webHidden/>
          </w:rPr>
          <w:tab/>
        </w:r>
        <w:r w:rsidR="00871DEE">
          <w:rPr>
            <w:noProof/>
            <w:webHidden/>
          </w:rPr>
          <w:fldChar w:fldCharType="begin"/>
        </w:r>
        <w:r w:rsidR="00871DEE">
          <w:rPr>
            <w:noProof/>
            <w:webHidden/>
          </w:rPr>
          <w:instrText xml:space="preserve"> PAGEREF _Toc7715438 \h </w:instrText>
        </w:r>
        <w:r w:rsidR="00871DEE">
          <w:rPr>
            <w:noProof/>
            <w:webHidden/>
          </w:rPr>
        </w:r>
        <w:r w:rsidR="00871DEE">
          <w:rPr>
            <w:noProof/>
            <w:webHidden/>
          </w:rPr>
          <w:fldChar w:fldCharType="separate"/>
        </w:r>
        <w:r w:rsidR="00871DEE">
          <w:rPr>
            <w:noProof/>
            <w:webHidden/>
          </w:rPr>
          <w:t>58</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39" w:history="1">
        <w:r w:rsidR="00871DEE" w:rsidRPr="00E66F98">
          <w:rPr>
            <w:rStyle w:val="Hyperlink"/>
            <w:noProof/>
          </w:rPr>
          <w:t xml:space="preserve">Abbildung 51: Käferschlupf in Abhängigkeit der Behandlungsvarianten mit L. lecanii. </w:t>
        </w:r>
        <w:r w:rsidR="00871DEE" w:rsidRPr="00E66F98">
          <w:rPr>
            <w:rStyle w:val="Hyperlink"/>
            <w:noProof/>
            <w:lang w:eastAsia="de-DE"/>
          </w:rPr>
          <w:t>Die dargestellten Boxplots zeigen als Mittellinie den Median, obere und untere Begrenzung des Rechtecks markieren oberes und unteres Quartil, die Ausleger markieren das 5% bzw. das 95% Perzentil; statistische Ausreißer sind durch Sterne markiert.</w:t>
        </w:r>
        <w:r w:rsidR="00871DEE">
          <w:rPr>
            <w:noProof/>
            <w:webHidden/>
          </w:rPr>
          <w:tab/>
        </w:r>
        <w:r w:rsidR="00871DEE">
          <w:rPr>
            <w:noProof/>
            <w:webHidden/>
          </w:rPr>
          <w:fldChar w:fldCharType="begin"/>
        </w:r>
        <w:r w:rsidR="00871DEE">
          <w:rPr>
            <w:noProof/>
            <w:webHidden/>
          </w:rPr>
          <w:instrText xml:space="preserve"> PAGEREF _Toc7715439 \h </w:instrText>
        </w:r>
        <w:r w:rsidR="00871DEE">
          <w:rPr>
            <w:noProof/>
            <w:webHidden/>
          </w:rPr>
        </w:r>
        <w:r w:rsidR="00871DEE">
          <w:rPr>
            <w:noProof/>
            <w:webHidden/>
          </w:rPr>
          <w:fldChar w:fldCharType="separate"/>
        </w:r>
        <w:r w:rsidR="00871DEE">
          <w:rPr>
            <w:noProof/>
            <w:webHidden/>
          </w:rPr>
          <w:t>61</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40" w:history="1">
        <w:r w:rsidR="00871DEE" w:rsidRPr="00E66F98">
          <w:rPr>
            <w:rStyle w:val="Hyperlink"/>
            <w:noProof/>
          </w:rPr>
          <w:t>Abbildung 52: Versuchsjahr 2015: Durchschnittliche Anzahl aufgegangener Pflanzen je Parzelle zwei Wochen nach Aussaat an den Standorten Weiz und Melk.</w:t>
        </w:r>
        <w:r w:rsidR="00871DEE">
          <w:rPr>
            <w:noProof/>
            <w:webHidden/>
          </w:rPr>
          <w:tab/>
        </w:r>
        <w:r w:rsidR="00871DEE">
          <w:rPr>
            <w:noProof/>
            <w:webHidden/>
          </w:rPr>
          <w:fldChar w:fldCharType="begin"/>
        </w:r>
        <w:r w:rsidR="00871DEE">
          <w:rPr>
            <w:noProof/>
            <w:webHidden/>
          </w:rPr>
          <w:instrText xml:space="preserve"> PAGEREF _Toc7715440 \h </w:instrText>
        </w:r>
        <w:r w:rsidR="00871DEE">
          <w:rPr>
            <w:noProof/>
            <w:webHidden/>
          </w:rPr>
        </w:r>
        <w:r w:rsidR="00871DEE">
          <w:rPr>
            <w:noProof/>
            <w:webHidden/>
          </w:rPr>
          <w:fldChar w:fldCharType="separate"/>
        </w:r>
        <w:r w:rsidR="00871DEE">
          <w:rPr>
            <w:noProof/>
            <w:webHidden/>
          </w:rPr>
          <w:t>64</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41" w:history="1">
        <w:r w:rsidR="00871DEE" w:rsidRPr="00E66F98">
          <w:rPr>
            <w:rStyle w:val="Hyperlink"/>
            <w:noProof/>
          </w:rPr>
          <w:t>Abbildung 53: Versuchsjahr 2015: Durchschnittliches Frischgewicht je Pflanze in g zwei Wochen nach Aussaat an den Standorten Weiz und Melk.</w:t>
        </w:r>
        <w:r w:rsidR="00871DEE">
          <w:rPr>
            <w:noProof/>
            <w:webHidden/>
          </w:rPr>
          <w:tab/>
        </w:r>
        <w:r w:rsidR="00871DEE">
          <w:rPr>
            <w:noProof/>
            <w:webHidden/>
          </w:rPr>
          <w:fldChar w:fldCharType="begin"/>
        </w:r>
        <w:r w:rsidR="00871DEE">
          <w:rPr>
            <w:noProof/>
            <w:webHidden/>
          </w:rPr>
          <w:instrText xml:space="preserve"> PAGEREF _Toc7715441 \h </w:instrText>
        </w:r>
        <w:r w:rsidR="00871DEE">
          <w:rPr>
            <w:noProof/>
            <w:webHidden/>
          </w:rPr>
        </w:r>
        <w:r w:rsidR="00871DEE">
          <w:rPr>
            <w:noProof/>
            <w:webHidden/>
          </w:rPr>
          <w:fldChar w:fldCharType="separate"/>
        </w:r>
        <w:r w:rsidR="00871DEE">
          <w:rPr>
            <w:noProof/>
            <w:webHidden/>
          </w:rPr>
          <w:t>64</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42" w:history="1">
        <w:r w:rsidR="00871DEE" w:rsidRPr="00E66F98">
          <w:rPr>
            <w:rStyle w:val="Hyperlink"/>
            <w:noProof/>
          </w:rPr>
          <w:t>Abbildung 54: Versuchsjahr 2015: Durchschnittlicher Ernteertrag in dt/ha an den Standorten Weiz und Melk.</w:t>
        </w:r>
        <w:r w:rsidR="00871DEE">
          <w:rPr>
            <w:noProof/>
            <w:webHidden/>
          </w:rPr>
          <w:tab/>
        </w:r>
        <w:r w:rsidR="00871DEE">
          <w:rPr>
            <w:noProof/>
            <w:webHidden/>
          </w:rPr>
          <w:fldChar w:fldCharType="begin"/>
        </w:r>
        <w:r w:rsidR="00871DEE">
          <w:rPr>
            <w:noProof/>
            <w:webHidden/>
          </w:rPr>
          <w:instrText xml:space="preserve"> PAGEREF _Toc7715442 \h </w:instrText>
        </w:r>
        <w:r w:rsidR="00871DEE">
          <w:rPr>
            <w:noProof/>
            <w:webHidden/>
          </w:rPr>
        </w:r>
        <w:r w:rsidR="00871DEE">
          <w:rPr>
            <w:noProof/>
            <w:webHidden/>
          </w:rPr>
          <w:fldChar w:fldCharType="separate"/>
        </w:r>
        <w:r w:rsidR="00871DEE">
          <w:rPr>
            <w:noProof/>
            <w:webHidden/>
          </w:rPr>
          <w:t>64</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43" w:history="1">
        <w:r w:rsidR="00871DEE" w:rsidRPr="00E66F98">
          <w:rPr>
            <w:rStyle w:val="Hyperlink"/>
            <w:noProof/>
          </w:rPr>
          <w:t xml:space="preserve">Abbildung 55: Versuchsjahr 2015: </w:t>
        </w:r>
        <w:r w:rsidR="00871DEE" w:rsidRPr="00E66F98">
          <w:rPr>
            <w:rStyle w:val="Hyperlink"/>
            <w:rFonts w:cs="Arial"/>
            <w:noProof/>
          </w:rPr>
          <w:t>Anteil gelagerter Pflanzen an den Standorten Weiz und Melk</w:t>
        </w:r>
        <w:r w:rsidR="00871DEE" w:rsidRPr="00E66F98">
          <w:rPr>
            <w:rStyle w:val="Hyperlink"/>
            <w:noProof/>
          </w:rPr>
          <w:t>.</w:t>
        </w:r>
        <w:r w:rsidR="00871DEE">
          <w:rPr>
            <w:noProof/>
            <w:webHidden/>
          </w:rPr>
          <w:tab/>
        </w:r>
        <w:r w:rsidR="00871DEE">
          <w:rPr>
            <w:noProof/>
            <w:webHidden/>
          </w:rPr>
          <w:fldChar w:fldCharType="begin"/>
        </w:r>
        <w:r w:rsidR="00871DEE">
          <w:rPr>
            <w:noProof/>
            <w:webHidden/>
          </w:rPr>
          <w:instrText xml:space="preserve"> PAGEREF _Toc7715443 \h </w:instrText>
        </w:r>
        <w:r w:rsidR="00871DEE">
          <w:rPr>
            <w:noProof/>
            <w:webHidden/>
          </w:rPr>
        </w:r>
        <w:r w:rsidR="00871DEE">
          <w:rPr>
            <w:noProof/>
            <w:webHidden/>
          </w:rPr>
          <w:fldChar w:fldCharType="separate"/>
        </w:r>
        <w:r w:rsidR="00871DEE">
          <w:rPr>
            <w:noProof/>
            <w:webHidden/>
          </w:rPr>
          <w:t>65</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44" w:history="1">
        <w:r w:rsidR="00871DEE" w:rsidRPr="00E66F98">
          <w:rPr>
            <w:rStyle w:val="Hyperlink"/>
            <w:noProof/>
          </w:rPr>
          <w:t>Abbildung 56: Versuchsjahr 2016: Relativer Effekt der Behandlung mit S. rhizophila auf Saataufgang und Frischgewicht drei Wochen nach Aussaat sowie auf das Erntegewicht am Standort Mitterdorf a.d. Raab, Steiermark.</w:t>
        </w:r>
        <w:r w:rsidR="00871DEE">
          <w:rPr>
            <w:noProof/>
            <w:webHidden/>
          </w:rPr>
          <w:tab/>
        </w:r>
        <w:r w:rsidR="00871DEE">
          <w:rPr>
            <w:noProof/>
            <w:webHidden/>
          </w:rPr>
          <w:fldChar w:fldCharType="begin"/>
        </w:r>
        <w:r w:rsidR="00871DEE">
          <w:rPr>
            <w:noProof/>
            <w:webHidden/>
          </w:rPr>
          <w:instrText xml:space="preserve"> PAGEREF _Toc7715444 \h </w:instrText>
        </w:r>
        <w:r w:rsidR="00871DEE">
          <w:rPr>
            <w:noProof/>
            <w:webHidden/>
          </w:rPr>
        </w:r>
        <w:r w:rsidR="00871DEE">
          <w:rPr>
            <w:noProof/>
            <w:webHidden/>
          </w:rPr>
          <w:fldChar w:fldCharType="separate"/>
        </w:r>
        <w:r w:rsidR="00871DEE">
          <w:rPr>
            <w:noProof/>
            <w:webHidden/>
          </w:rPr>
          <w:t>66</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45" w:history="1">
        <w:r w:rsidR="00871DEE" w:rsidRPr="00E66F98">
          <w:rPr>
            <w:rStyle w:val="Hyperlink"/>
            <w:noProof/>
          </w:rPr>
          <w:t>Abbildung 57: Versuchsjahr 2016: Relativer Effekt der Behandlung mit S. rhizophila auf Saataufgang und Frischgewicht drei Wochen nach Aussaat sowie auf das Erntegewicht am Standort Reichersberg, Oberösterreich.</w:t>
        </w:r>
        <w:r w:rsidR="00871DEE">
          <w:rPr>
            <w:noProof/>
            <w:webHidden/>
          </w:rPr>
          <w:tab/>
        </w:r>
        <w:r w:rsidR="00871DEE">
          <w:rPr>
            <w:noProof/>
            <w:webHidden/>
          </w:rPr>
          <w:fldChar w:fldCharType="begin"/>
        </w:r>
        <w:r w:rsidR="00871DEE">
          <w:rPr>
            <w:noProof/>
            <w:webHidden/>
          </w:rPr>
          <w:instrText xml:space="preserve"> PAGEREF _Toc7715445 \h </w:instrText>
        </w:r>
        <w:r w:rsidR="00871DEE">
          <w:rPr>
            <w:noProof/>
            <w:webHidden/>
          </w:rPr>
        </w:r>
        <w:r w:rsidR="00871DEE">
          <w:rPr>
            <w:noProof/>
            <w:webHidden/>
          </w:rPr>
          <w:fldChar w:fldCharType="separate"/>
        </w:r>
        <w:r w:rsidR="00871DEE">
          <w:rPr>
            <w:noProof/>
            <w:webHidden/>
          </w:rPr>
          <w:t>66</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46" w:history="1">
        <w:r w:rsidR="00871DEE" w:rsidRPr="00E66F98">
          <w:rPr>
            <w:rStyle w:val="Hyperlink"/>
            <w:noProof/>
          </w:rPr>
          <w:t>Abbildung 58: Versuchsjahr 2016: Relativer Effekt der Behandlung mit S. rhizophila auf Saataufgang und Frischgewicht drei Wochen nach Aussaat sowie auf das Erntegewicht am Standort Melk, Niederösterreich.</w:t>
        </w:r>
        <w:r w:rsidR="00871DEE">
          <w:rPr>
            <w:noProof/>
            <w:webHidden/>
          </w:rPr>
          <w:tab/>
        </w:r>
        <w:r w:rsidR="00871DEE">
          <w:rPr>
            <w:noProof/>
            <w:webHidden/>
          </w:rPr>
          <w:fldChar w:fldCharType="begin"/>
        </w:r>
        <w:r w:rsidR="00871DEE">
          <w:rPr>
            <w:noProof/>
            <w:webHidden/>
          </w:rPr>
          <w:instrText xml:space="preserve"> PAGEREF _Toc7715446 \h </w:instrText>
        </w:r>
        <w:r w:rsidR="00871DEE">
          <w:rPr>
            <w:noProof/>
            <w:webHidden/>
          </w:rPr>
        </w:r>
        <w:r w:rsidR="00871DEE">
          <w:rPr>
            <w:noProof/>
            <w:webHidden/>
          </w:rPr>
          <w:fldChar w:fldCharType="separate"/>
        </w:r>
        <w:r w:rsidR="00871DEE">
          <w:rPr>
            <w:noProof/>
            <w:webHidden/>
          </w:rPr>
          <w:t>67</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47" w:history="1">
        <w:r w:rsidR="00871DEE" w:rsidRPr="00E66F98">
          <w:rPr>
            <w:rStyle w:val="Hyperlink"/>
            <w:noProof/>
          </w:rPr>
          <w:t>Abbildung 59: Versuchsjahr 2017: Relativer Effekt der Behandlung der Maissorten LG32.58 und LG30.273 mit S. rhizophila auf das Erntegewicht an fünf Standorten.</w:t>
        </w:r>
        <w:r w:rsidR="00871DEE">
          <w:rPr>
            <w:noProof/>
            <w:webHidden/>
          </w:rPr>
          <w:tab/>
        </w:r>
        <w:r w:rsidR="00871DEE">
          <w:rPr>
            <w:noProof/>
            <w:webHidden/>
          </w:rPr>
          <w:fldChar w:fldCharType="begin"/>
        </w:r>
        <w:r w:rsidR="00871DEE">
          <w:rPr>
            <w:noProof/>
            <w:webHidden/>
          </w:rPr>
          <w:instrText xml:space="preserve"> PAGEREF _Toc7715447 \h </w:instrText>
        </w:r>
        <w:r w:rsidR="00871DEE">
          <w:rPr>
            <w:noProof/>
            <w:webHidden/>
          </w:rPr>
        </w:r>
        <w:r w:rsidR="00871DEE">
          <w:rPr>
            <w:noProof/>
            <w:webHidden/>
          </w:rPr>
          <w:fldChar w:fldCharType="separate"/>
        </w:r>
        <w:r w:rsidR="00871DEE">
          <w:rPr>
            <w:noProof/>
            <w:webHidden/>
          </w:rPr>
          <w:t>67</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48" w:history="1">
        <w:r w:rsidR="00871DEE" w:rsidRPr="00E66F98">
          <w:rPr>
            <w:rStyle w:val="Hyperlink"/>
            <w:noProof/>
          </w:rPr>
          <w:t>Abbildung 60: Versuchsjahr 2017: Relativer Effekt der Behandlung der Maissorten LG32.58 und LG30.273 mit S. rhizophila auf den Anteil gelagerten Pflanzen an fünf Standorten (o.B.=ohne Befall).</w:t>
        </w:r>
        <w:r w:rsidR="00871DEE">
          <w:rPr>
            <w:noProof/>
            <w:webHidden/>
          </w:rPr>
          <w:tab/>
        </w:r>
        <w:r w:rsidR="00871DEE">
          <w:rPr>
            <w:noProof/>
            <w:webHidden/>
          </w:rPr>
          <w:fldChar w:fldCharType="begin"/>
        </w:r>
        <w:r w:rsidR="00871DEE">
          <w:rPr>
            <w:noProof/>
            <w:webHidden/>
          </w:rPr>
          <w:instrText xml:space="preserve"> PAGEREF _Toc7715448 \h </w:instrText>
        </w:r>
        <w:r w:rsidR="00871DEE">
          <w:rPr>
            <w:noProof/>
            <w:webHidden/>
          </w:rPr>
        </w:r>
        <w:r w:rsidR="00871DEE">
          <w:rPr>
            <w:noProof/>
            <w:webHidden/>
          </w:rPr>
          <w:fldChar w:fldCharType="separate"/>
        </w:r>
        <w:r w:rsidR="00871DEE">
          <w:rPr>
            <w:noProof/>
            <w:webHidden/>
          </w:rPr>
          <w:t>67</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49" w:history="1">
        <w:r w:rsidR="00871DEE" w:rsidRPr="00E66F98">
          <w:rPr>
            <w:rStyle w:val="Hyperlink"/>
            <w:noProof/>
          </w:rPr>
          <w:t>Abbildung 61: Versuchsflächen Feld 1 / Siloacker, Feld 2 Gomboc und Feld 3 / Langacker (Fischer ©)</w:t>
        </w:r>
        <w:r w:rsidR="00871DEE">
          <w:rPr>
            <w:noProof/>
            <w:webHidden/>
          </w:rPr>
          <w:tab/>
        </w:r>
        <w:r w:rsidR="00871DEE">
          <w:rPr>
            <w:noProof/>
            <w:webHidden/>
          </w:rPr>
          <w:fldChar w:fldCharType="begin"/>
        </w:r>
        <w:r w:rsidR="00871DEE">
          <w:rPr>
            <w:noProof/>
            <w:webHidden/>
          </w:rPr>
          <w:instrText xml:space="preserve"> PAGEREF _Toc7715449 \h </w:instrText>
        </w:r>
        <w:r w:rsidR="00871DEE">
          <w:rPr>
            <w:noProof/>
            <w:webHidden/>
          </w:rPr>
        </w:r>
        <w:r w:rsidR="00871DEE">
          <w:rPr>
            <w:noProof/>
            <w:webHidden/>
          </w:rPr>
          <w:fldChar w:fldCharType="separate"/>
        </w:r>
        <w:r w:rsidR="00871DEE">
          <w:rPr>
            <w:noProof/>
            <w:webHidden/>
          </w:rPr>
          <w:t>69</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50" w:history="1">
        <w:r w:rsidR="00871DEE" w:rsidRPr="00E66F98">
          <w:rPr>
            <w:rStyle w:val="Hyperlink"/>
            <w:noProof/>
          </w:rPr>
          <w:t>Abbildung 62: Versuchsflächen in Dedenitz: Feld 1/Siloacker, Feld 2/Gomboc und Feld 3 Langacker (Digitale Bodenkarte von Österreich, eBOD ©, 2018, von Strolz und Strasser modifiziert). Von links nach rechts Versuchsfeld 1, Feld 2 und Feld 3.Umrahmte graue Fläche symbolisiert eine der Versuchsflächen der INBIOSOIL Studie aus dem Jahr 2015, welche sich mit der DIACONT Versuchsanlage überlappte (FP7_ENV.2011.3.19, Agreement No 282767, Rauch et al. 2017).</w:t>
        </w:r>
        <w:r w:rsidR="00871DEE">
          <w:rPr>
            <w:noProof/>
            <w:webHidden/>
          </w:rPr>
          <w:tab/>
        </w:r>
        <w:r w:rsidR="00871DEE">
          <w:rPr>
            <w:noProof/>
            <w:webHidden/>
          </w:rPr>
          <w:fldChar w:fldCharType="begin"/>
        </w:r>
        <w:r w:rsidR="00871DEE">
          <w:rPr>
            <w:noProof/>
            <w:webHidden/>
          </w:rPr>
          <w:instrText xml:space="preserve"> PAGEREF _Toc7715450 \h </w:instrText>
        </w:r>
        <w:r w:rsidR="00871DEE">
          <w:rPr>
            <w:noProof/>
            <w:webHidden/>
          </w:rPr>
        </w:r>
        <w:r w:rsidR="00871DEE">
          <w:rPr>
            <w:noProof/>
            <w:webHidden/>
          </w:rPr>
          <w:fldChar w:fldCharType="separate"/>
        </w:r>
        <w:r w:rsidR="00871DEE">
          <w:rPr>
            <w:noProof/>
            <w:webHidden/>
          </w:rPr>
          <w:t>70</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51" w:history="1">
        <w:r w:rsidR="00871DEE" w:rsidRPr="00E66F98">
          <w:rPr>
            <w:rStyle w:val="Hyperlink"/>
            <w:noProof/>
          </w:rPr>
          <w:t>Abbildung 63: Rahmen des Schlupfzeltes um drei abgeschnittene Maispflanzen</w:t>
        </w:r>
        <w:r w:rsidR="00871DEE">
          <w:rPr>
            <w:noProof/>
            <w:webHidden/>
          </w:rPr>
          <w:tab/>
        </w:r>
        <w:r w:rsidR="00871DEE">
          <w:rPr>
            <w:noProof/>
            <w:webHidden/>
          </w:rPr>
          <w:fldChar w:fldCharType="begin"/>
        </w:r>
        <w:r w:rsidR="00871DEE">
          <w:rPr>
            <w:noProof/>
            <w:webHidden/>
          </w:rPr>
          <w:instrText xml:space="preserve"> PAGEREF _Toc7715451 \h </w:instrText>
        </w:r>
        <w:r w:rsidR="00871DEE">
          <w:rPr>
            <w:noProof/>
            <w:webHidden/>
          </w:rPr>
        </w:r>
        <w:r w:rsidR="00871DEE">
          <w:rPr>
            <w:noProof/>
            <w:webHidden/>
          </w:rPr>
          <w:fldChar w:fldCharType="separate"/>
        </w:r>
        <w:r w:rsidR="00871DEE">
          <w:rPr>
            <w:noProof/>
            <w:webHidden/>
          </w:rPr>
          <w:t>72</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52" w:history="1">
        <w:r w:rsidR="00871DEE" w:rsidRPr="00E66F98">
          <w:rPr>
            <w:rStyle w:val="Hyperlink"/>
            <w:noProof/>
          </w:rPr>
          <w:t>Abbildung 64: Fertig installiertes Schlupfzelt um drei abgeschnittene Maispflanzen</w:t>
        </w:r>
        <w:r w:rsidR="00871DEE">
          <w:rPr>
            <w:noProof/>
            <w:webHidden/>
          </w:rPr>
          <w:tab/>
        </w:r>
        <w:r w:rsidR="00871DEE">
          <w:rPr>
            <w:noProof/>
            <w:webHidden/>
          </w:rPr>
          <w:fldChar w:fldCharType="begin"/>
        </w:r>
        <w:r w:rsidR="00871DEE">
          <w:rPr>
            <w:noProof/>
            <w:webHidden/>
          </w:rPr>
          <w:instrText xml:space="preserve"> PAGEREF _Toc7715452 \h </w:instrText>
        </w:r>
        <w:r w:rsidR="00871DEE">
          <w:rPr>
            <w:noProof/>
            <w:webHidden/>
          </w:rPr>
        </w:r>
        <w:r w:rsidR="00871DEE">
          <w:rPr>
            <w:noProof/>
            <w:webHidden/>
          </w:rPr>
          <w:fldChar w:fldCharType="separate"/>
        </w:r>
        <w:r w:rsidR="00871DEE">
          <w:rPr>
            <w:noProof/>
            <w:webHidden/>
          </w:rPr>
          <w:t>73</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53" w:history="1">
        <w:r w:rsidR="00871DEE" w:rsidRPr="00E66F98">
          <w:rPr>
            <w:rStyle w:val="Hyperlink"/>
            <w:noProof/>
          </w:rPr>
          <w:t>Abbildung 65: Ursachen der Larvalmortalität von T. molitor-Larven im Persistenztest nach Pilz am Standort Siloacker</w:t>
        </w:r>
        <w:r w:rsidR="00871DEE">
          <w:rPr>
            <w:noProof/>
            <w:webHidden/>
          </w:rPr>
          <w:tab/>
        </w:r>
        <w:r w:rsidR="00871DEE">
          <w:rPr>
            <w:noProof/>
            <w:webHidden/>
          </w:rPr>
          <w:fldChar w:fldCharType="begin"/>
        </w:r>
        <w:r w:rsidR="00871DEE">
          <w:rPr>
            <w:noProof/>
            <w:webHidden/>
          </w:rPr>
          <w:instrText xml:space="preserve"> PAGEREF _Toc7715453 \h </w:instrText>
        </w:r>
        <w:r w:rsidR="00871DEE">
          <w:rPr>
            <w:noProof/>
            <w:webHidden/>
          </w:rPr>
        </w:r>
        <w:r w:rsidR="00871DEE">
          <w:rPr>
            <w:noProof/>
            <w:webHidden/>
          </w:rPr>
          <w:fldChar w:fldCharType="separate"/>
        </w:r>
        <w:r w:rsidR="00871DEE">
          <w:rPr>
            <w:noProof/>
            <w:webHidden/>
          </w:rPr>
          <w:t>74</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54" w:history="1">
        <w:r w:rsidR="00871DEE" w:rsidRPr="00E66F98">
          <w:rPr>
            <w:rStyle w:val="Hyperlink"/>
            <w:noProof/>
          </w:rPr>
          <w:t>Abbildung 66: Ursachen der Larvalmortalität von T. molitor-Larven im Persistenztest nach Pilz am Standort Gomboc</w:t>
        </w:r>
        <w:r w:rsidR="00871DEE">
          <w:rPr>
            <w:noProof/>
            <w:webHidden/>
          </w:rPr>
          <w:tab/>
        </w:r>
        <w:r w:rsidR="00871DEE">
          <w:rPr>
            <w:noProof/>
            <w:webHidden/>
          </w:rPr>
          <w:fldChar w:fldCharType="begin"/>
        </w:r>
        <w:r w:rsidR="00871DEE">
          <w:rPr>
            <w:noProof/>
            <w:webHidden/>
          </w:rPr>
          <w:instrText xml:space="preserve"> PAGEREF _Toc7715454 \h </w:instrText>
        </w:r>
        <w:r w:rsidR="00871DEE">
          <w:rPr>
            <w:noProof/>
            <w:webHidden/>
          </w:rPr>
        </w:r>
        <w:r w:rsidR="00871DEE">
          <w:rPr>
            <w:noProof/>
            <w:webHidden/>
          </w:rPr>
          <w:fldChar w:fldCharType="separate"/>
        </w:r>
        <w:r w:rsidR="00871DEE">
          <w:rPr>
            <w:noProof/>
            <w:webHidden/>
          </w:rPr>
          <w:t>74</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55" w:history="1">
        <w:r w:rsidR="00871DEE" w:rsidRPr="00E66F98">
          <w:rPr>
            <w:rStyle w:val="Hyperlink"/>
            <w:noProof/>
          </w:rPr>
          <w:t>Abbildung 67: Ursachen der Larvalmortalität von T. molitor-Larven im Persistenztest nach Pilz am Standort Langacker</w:t>
        </w:r>
        <w:r w:rsidR="00871DEE">
          <w:rPr>
            <w:noProof/>
            <w:webHidden/>
          </w:rPr>
          <w:tab/>
        </w:r>
        <w:r w:rsidR="00871DEE">
          <w:rPr>
            <w:noProof/>
            <w:webHidden/>
          </w:rPr>
          <w:fldChar w:fldCharType="begin"/>
        </w:r>
        <w:r w:rsidR="00871DEE">
          <w:rPr>
            <w:noProof/>
            <w:webHidden/>
          </w:rPr>
          <w:instrText xml:space="preserve"> PAGEREF _Toc7715455 \h </w:instrText>
        </w:r>
        <w:r w:rsidR="00871DEE">
          <w:rPr>
            <w:noProof/>
            <w:webHidden/>
          </w:rPr>
        </w:r>
        <w:r w:rsidR="00871DEE">
          <w:rPr>
            <w:noProof/>
            <w:webHidden/>
          </w:rPr>
          <w:fldChar w:fldCharType="separate"/>
        </w:r>
        <w:r w:rsidR="00871DEE">
          <w:rPr>
            <w:noProof/>
            <w:webHidden/>
          </w:rPr>
          <w:t>75</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56" w:history="1">
        <w:r w:rsidR="00871DEE" w:rsidRPr="00E66F98">
          <w:rPr>
            <w:rStyle w:val="Hyperlink"/>
            <w:noProof/>
          </w:rPr>
          <w:t>Abbildung 68: Versuchsjahr 2018: Effekt der Behandlung mit S. rhizophila allein und in Kombination mit Nematoden oder Metarhizium auf den Ernteertrag an drei Standorten in der Steiermark.</w:t>
        </w:r>
        <w:r w:rsidR="00871DEE">
          <w:rPr>
            <w:noProof/>
            <w:webHidden/>
          </w:rPr>
          <w:tab/>
        </w:r>
        <w:r w:rsidR="00871DEE">
          <w:rPr>
            <w:noProof/>
            <w:webHidden/>
          </w:rPr>
          <w:fldChar w:fldCharType="begin"/>
        </w:r>
        <w:r w:rsidR="00871DEE">
          <w:rPr>
            <w:noProof/>
            <w:webHidden/>
          </w:rPr>
          <w:instrText xml:space="preserve"> PAGEREF _Toc7715456 \h </w:instrText>
        </w:r>
        <w:r w:rsidR="00871DEE">
          <w:rPr>
            <w:noProof/>
            <w:webHidden/>
          </w:rPr>
        </w:r>
        <w:r w:rsidR="00871DEE">
          <w:rPr>
            <w:noProof/>
            <w:webHidden/>
          </w:rPr>
          <w:fldChar w:fldCharType="separate"/>
        </w:r>
        <w:r w:rsidR="00871DEE">
          <w:rPr>
            <w:noProof/>
            <w:webHidden/>
          </w:rPr>
          <w:t>76</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57" w:history="1">
        <w:r w:rsidR="00871DEE" w:rsidRPr="00E66F98">
          <w:rPr>
            <w:rStyle w:val="Hyperlink"/>
            <w:noProof/>
          </w:rPr>
          <w:t>Abbildung 69: Ergebnisse der quantitativen Echtzeit-PCR mit Stamm-spezifischer Sonde: Besiedlungsdichte von S. rhizophila an den Wurzeln von inokulierten Maispflanzen im Vergleich zur nicht inokulierten Variante und zum nicht durchwurzelten Boden.</w:t>
        </w:r>
        <w:r w:rsidR="00871DEE">
          <w:rPr>
            <w:noProof/>
            <w:webHidden/>
          </w:rPr>
          <w:tab/>
        </w:r>
        <w:r w:rsidR="00871DEE">
          <w:rPr>
            <w:noProof/>
            <w:webHidden/>
          </w:rPr>
          <w:fldChar w:fldCharType="begin"/>
        </w:r>
        <w:r w:rsidR="00871DEE">
          <w:rPr>
            <w:noProof/>
            <w:webHidden/>
          </w:rPr>
          <w:instrText xml:space="preserve"> PAGEREF _Toc7715457 \h </w:instrText>
        </w:r>
        <w:r w:rsidR="00871DEE">
          <w:rPr>
            <w:noProof/>
            <w:webHidden/>
          </w:rPr>
        </w:r>
        <w:r w:rsidR="00871DEE">
          <w:rPr>
            <w:noProof/>
            <w:webHidden/>
          </w:rPr>
          <w:fldChar w:fldCharType="separate"/>
        </w:r>
        <w:r w:rsidR="00871DEE">
          <w:rPr>
            <w:noProof/>
            <w:webHidden/>
          </w:rPr>
          <w:t>77</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58" w:history="1">
        <w:r w:rsidR="00871DEE" w:rsidRPr="00E66F98">
          <w:rPr>
            <w:rStyle w:val="Hyperlink"/>
            <w:noProof/>
          </w:rPr>
          <w:t>Abbildung 70: Distanzen der bakteriellen Gemeinschaften assoziiert mit der Rhizosphäre von Maispflanzen im Rahmen der Feldversuche 2015 in Mitterdorf an der Raab (Steiermark) und Melk (Niederösterreich) dargestellt mittels Principal component analysis (PCoA). Co = Kontrolle; STR = inokuliert mit S. rhizophila; +/- mit/ohne MAXIM-Behandlung.</w:t>
        </w:r>
        <w:r w:rsidR="00871DEE">
          <w:rPr>
            <w:noProof/>
            <w:webHidden/>
          </w:rPr>
          <w:tab/>
        </w:r>
        <w:r w:rsidR="00871DEE">
          <w:rPr>
            <w:noProof/>
            <w:webHidden/>
          </w:rPr>
          <w:fldChar w:fldCharType="begin"/>
        </w:r>
        <w:r w:rsidR="00871DEE">
          <w:rPr>
            <w:noProof/>
            <w:webHidden/>
          </w:rPr>
          <w:instrText xml:space="preserve"> PAGEREF _Toc7715458 \h </w:instrText>
        </w:r>
        <w:r w:rsidR="00871DEE">
          <w:rPr>
            <w:noProof/>
            <w:webHidden/>
          </w:rPr>
        </w:r>
        <w:r w:rsidR="00871DEE">
          <w:rPr>
            <w:noProof/>
            <w:webHidden/>
          </w:rPr>
          <w:fldChar w:fldCharType="separate"/>
        </w:r>
        <w:r w:rsidR="00871DEE">
          <w:rPr>
            <w:noProof/>
            <w:webHidden/>
          </w:rPr>
          <w:t>78</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59" w:history="1">
        <w:r w:rsidR="00871DEE" w:rsidRPr="00E66F98">
          <w:rPr>
            <w:rStyle w:val="Hyperlink"/>
            <w:noProof/>
          </w:rPr>
          <w:t>Abbildung 71: Taxonomische Zusammensetzung der bakteriellen Gemeinschaften assoziiert mit der Rhizosphäre von Maispflanzen im Rahmen der Feldversuche in Mitterdorf (Weiz) und Melk auf Phylum-Level. Co = Kontrolle; STR = inokuliert mit S. rhizophila; +/- mit/ohne MAXIM-Behandlung.</w:t>
        </w:r>
        <w:r w:rsidR="00871DEE">
          <w:rPr>
            <w:noProof/>
            <w:webHidden/>
          </w:rPr>
          <w:tab/>
        </w:r>
        <w:r w:rsidR="00871DEE">
          <w:rPr>
            <w:noProof/>
            <w:webHidden/>
          </w:rPr>
          <w:fldChar w:fldCharType="begin"/>
        </w:r>
        <w:r w:rsidR="00871DEE">
          <w:rPr>
            <w:noProof/>
            <w:webHidden/>
          </w:rPr>
          <w:instrText xml:space="preserve"> PAGEREF _Toc7715459 \h </w:instrText>
        </w:r>
        <w:r w:rsidR="00871DEE">
          <w:rPr>
            <w:noProof/>
            <w:webHidden/>
          </w:rPr>
        </w:r>
        <w:r w:rsidR="00871DEE">
          <w:rPr>
            <w:noProof/>
            <w:webHidden/>
          </w:rPr>
          <w:fldChar w:fldCharType="separate"/>
        </w:r>
        <w:r w:rsidR="00871DEE">
          <w:rPr>
            <w:noProof/>
            <w:webHidden/>
          </w:rPr>
          <w:t>78</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60" w:history="1">
        <w:r w:rsidR="00871DEE" w:rsidRPr="00E66F98">
          <w:rPr>
            <w:rStyle w:val="Hyperlink"/>
            <w:noProof/>
          </w:rPr>
          <w:t>Abbildung 72: Distanzen der Pilzgemeinschaften assoziiert mit der Rhizosphäre von Maispflanzen im Rahmen der Feldversuche 2015 in Mitterdorf  an der Raab (Steiermark) und Melk (Niederösterreich) dargestellt mittels Principal component analysis (PCoA). Co = Kontrolle; STR = inokuliert mit S. rhizophila; +/- mit/ohne MAXIM-Behandlung.</w:t>
        </w:r>
        <w:r w:rsidR="00871DEE">
          <w:rPr>
            <w:noProof/>
            <w:webHidden/>
          </w:rPr>
          <w:tab/>
        </w:r>
        <w:r w:rsidR="00871DEE">
          <w:rPr>
            <w:noProof/>
            <w:webHidden/>
          </w:rPr>
          <w:fldChar w:fldCharType="begin"/>
        </w:r>
        <w:r w:rsidR="00871DEE">
          <w:rPr>
            <w:noProof/>
            <w:webHidden/>
          </w:rPr>
          <w:instrText xml:space="preserve"> PAGEREF _Toc7715460 \h </w:instrText>
        </w:r>
        <w:r w:rsidR="00871DEE">
          <w:rPr>
            <w:noProof/>
            <w:webHidden/>
          </w:rPr>
        </w:r>
        <w:r w:rsidR="00871DEE">
          <w:rPr>
            <w:noProof/>
            <w:webHidden/>
          </w:rPr>
          <w:fldChar w:fldCharType="separate"/>
        </w:r>
        <w:r w:rsidR="00871DEE">
          <w:rPr>
            <w:noProof/>
            <w:webHidden/>
          </w:rPr>
          <w:t>79</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61" w:history="1">
        <w:r w:rsidR="00871DEE" w:rsidRPr="00E66F98">
          <w:rPr>
            <w:rStyle w:val="Hyperlink"/>
            <w:noProof/>
          </w:rPr>
          <w:t>Abbildung 73: Taxonomische Zusammensetzung der Pilzgemeinschaften assoziiert mit der Rhizosphäre von Maispflanzen im Rahmen der Feldversuche in Mitterdorf (Weiz) und Melk auf Phylum-Level. Co = Kontrolle; STR = inokuliert mit S. rhizophila; +/- mit/ohne MAXIM-Behandlung.</w:t>
        </w:r>
        <w:r w:rsidR="00871DEE">
          <w:rPr>
            <w:noProof/>
            <w:webHidden/>
          </w:rPr>
          <w:tab/>
        </w:r>
        <w:r w:rsidR="00871DEE">
          <w:rPr>
            <w:noProof/>
            <w:webHidden/>
          </w:rPr>
          <w:fldChar w:fldCharType="begin"/>
        </w:r>
        <w:r w:rsidR="00871DEE">
          <w:rPr>
            <w:noProof/>
            <w:webHidden/>
          </w:rPr>
          <w:instrText xml:space="preserve"> PAGEREF _Toc7715461 \h </w:instrText>
        </w:r>
        <w:r w:rsidR="00871DEE">
          <w:rPr>
            <w:noProof/>
            <w:webHidden/>
          </w:rPr>
        </w:r>
        <w:r w:rsidR="00871DEE">
          <w:rPr>
            <w:noProof/>
            <w:webHidden/>
          </w:rPr>
          <w:fldChar w:fldCharType="separate"/>
        </w:r>
        <w:r w:rsidR="00871DEE">
          <w:rPr>
            <w:noProof/>
            <w:webHidden/>
          </w:rPr>
          <w:t>79</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62" w:history="1">
        <w:r w:rsidR="00871DEE" w:rsidRPr="00E66F98">
          <w:rPr>
            <w:rStyle w:val="Hyperlink"/>
            <w:noProof/>
          </w:rPr>
          <w:t>Abbildung 74: Kolonisierungsmuster von DsRed2-markiertem S. rhizophila an Maiswurzeln unter Gewächshausbedingungen aufgenommen mittels konfokaler Laser-Scanning Mikroskopie.</w:t>
        </w:r>
        <w:r w:rsidR="00871DEE">
          <w:rPr>
            <w:noProof/>
            <w:webHidden/>
          </w:rPr>
          <w:tab/>
        </w:r>
        <w:r w:rsidR="00871DEE">
          <w:rPr>
            <w:noProof/>
            <w:webHidden/>
          </w:rPr>
          <w:fldChar w:fldCharType="begin"/>
        </w:r>
        <w:r w:rsidR="00871DEE">
          <w:rPr>
            <w:noProof/>
            <w:webHidden/>
          </w:rPr>
          <w:instrText xml:space="preserve"> PAGEREF _Toc7715462 \h </w:instrText>
        </w:r>
        <w:r w:rsidR="00871DEE">
          <w:rPr>
            <w:noProof/>
            <w:webHidden/>
          </w:rPr>
        </w:r>
        <w:r w:rsidR="00871DEE">
          <w:rPr>
            <w:noProof/>
            <w:webHidden/>
          </w:rPr>
          <w:fldChar w:fldCharType="separate"/>
        </w:r>
        <w:r w:rsidR="00871DEE">
          <w:rPr>
            <w:noProof/>
            <w:webHidden/>
          </w:rPr>
          <w:t>80</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63" w:history="1">
        <w:r w:rsidR="00871DEE" w:rsidRPr="00E66F98">
          <w:rPr>
            <w:rStyle w:val="Hyperlink"/>
            <w:noProof/>
          </w:rPr>
          <w:t>Abbildung 75:Beurteilung der Diabrotica v. virgifera Abundanz in den drei Versuchsfeldern Siloacker (Feld 1), Gomboc (Feld 2) und Langacker (Feld 3; alle Dedenitz, Steiermark) in der Pflanzsaison 2018 (n=6, Datensatz Kontrollparzellen).</w:t>
        </w:r>
        <w:r w:rsidR="00871DEE">
          <w:rPr>
            <w:noProof/>
            <w:webHidden/>
          </w:rPr>
          <w:tab/>
        </w:r>
        <w:r w:rsidR="00871DEE">
          <w:rPr>
            <w:noProof/>
            <w:webHidden/>
          </w:rPr>
          <w:fldChar w:fldCharType="begin"/>
        </w:r>
        <w:r w:rsidR="00871DEE">
          <w:rPr>
            <w:noProof/>
            <w:webHidden/>
          </w:rPr>
          <w:instrText xml:space="preserve"> PAGEREF _Toc7715463 \h </w:instrText>
        </w:r>
        <w:r w:rsidR="00871DEE">
          <w:rPr>
            <w:noProof/>
            <w:webHidden/>
          </w:rPr>
        </w:r>
        <w:r w:rsidR="00871DEE">
          <w:rPr>
            <w:noProof/>
            <w:webHidden/>
          </w:rPr>
          <w:fldChar w:fldCharType="separate"/>
        </w:r>
        <w:r w:rsidR="00871DEE">
          <w:rPr>
            <w:noProof/>
            <w:webHidden/>
          </w:rPr>
          <w:t>81</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64" w:history="1">
        <w:r w:rsidR="00871DEE" w:rsidRPr="00E66F98">
          <w:rPr>
            <w:rStyle w:val="Hyperlink"/>
            <w:noProof/>
          </w:rPr>
          <w:t>Abbildung 76: Scatterplot zur Prüfung auf Normalverteilung (SPPS 24 ). Bewertet wurden Variante (1) Nematoden + NICHT gebeiztes Saatgut; (2) Nematoden, Pilzgerste (50 kg ha</w:t>
        </w:r>
        <w:r w:rsidR="00871DEE" w:rsidRPr="00E66F98">
          <w:rPr>
            <w:rStyle w:val="Hyperlink"/>
            <w:noProof/>
            <w:vertAlign w:val="superscript"/>
          </w:rPr>
          <w:t>-1</w:t>
        </w:r>
        <w:r w:rsidR="00871DEE" w:rsidRPr="00E66F98">
          <w:rPr>
            <w:rStyle w:val="Hyperlink"/>
            <w:noProof/>
          </w:rPr>
          <w:t>) + NICHT gebeiztes Saatgut; (3) Nematoden + Bakterien (Bakterien gebeiztes Saatgut); (4) Belem (12 kg ha</w:t>
        </w:r>
        <w:r w:rsidR="00871DEE" w:rsidRPr="00E66F98">
          <w:rPr>
            <w:rStyle w:val="Hyperlink"/>
            <w:noProof/>
            <w:vertAlign w:val="superscript"/>
          </w:rPr>
          <w:t>-1</w:t>
        </w:r>
        <w:r w:rsidR="00871DEE" w:rsidRPr="00E66F98">
          <w:rPr>
            <w:rStyle w:val="Hyperlink"/>
            <w:noProof/>
          </w:rPr>
          <w:t>) + NICHT gebeiztes Saatgut; (5) Pilzgerste (50 kg ha</w:t>
        </w:r>
        <w:r w:rsidR="00871DEE" w:rsidRPr="00E66F98">
          <w:rPr>
            <w:rStyle w:val="Hyperlink"/>
            <w:noProof/>
            <w:vertAlign w:val="superscript"/>
          </w:rPr>
          <w:t>-1</w:t>
        </w:r>
        <w:r w:rsidR="00871DEE" w:rsidRPr="00E66F98">
          <w:rPr>
            <w:rStyle w:val="Hyperlink"/>
            <w:noProof/>
          </w:rPr>
          <w:t>) + NICHT gebeiztes Saatgut; (6) Pilzgerste (50 kg ha</w:t>
        </w:r>
        <w:r w:rsidR="00871DEE" w:rsidRPr="00E66F98">
          <w:rPr>
            <w:rStyle w:val="Hyperlink"/>
            <w:noProof/>
            <w:vertAlign w:val="superscript"/>
          </w:rPr>
          <w:t>-1</w:t>
        </w:r>
        <w:r w:rsidR="00871DEE" w:rsidRPr="00E66F98">
          <w:rPr>
            <w:rStyle w:val="Hyperlink"/>
            <w:noProof/>
          </w:rPr>
          <w:t>) + Bakterien (Bakterien gebeiztes Saatgut); (7) Bakterien gebeiztes Saatgut und (8) unbehandelte Parzelle (kein gebeiztes Saatgut).</w:t>
        </w:r>
        <w:r w:rsidR="00871DEE">
          <w:rPr>
            <w:noProof/>
            <w:webHidden/>
          </w:rPr>
          <w:tab/>
        </w:r>
        <w:r w:rsidR="00871DEE">
          <w:rPr>
            <w:noProof/>
            <w:webHidden/>
          </w:rPr>
          <w:fldChar w:fldCharType="begin"/>
        </w:r>
        <w:r w:rsidR="00871DEE">
          <w:rPr>
            <w:noProof/>
            <w:webHidden/>
          </w:rPr>
          <w:instrText xml:space="preserve"> PAGEREF _Toc7715464 \h </w:instrText>
        </w:r>
        <w:r w:rsidR="00871DEE">
          <w:rPr>
            <w:noProof/>
            <w:webHidden/>
          </w:rPr>
        </w:r>
        <w:r w:rsidR="00871DEE">
          <w:rPr>
            <w:noProof/>
            <w:webHidden/>
          </w:rPr>
          <w:fldChar w:fldCharType="separate"/>
        </w:r>
        <w:r w:rsidR="00871DEE">
          <w:rPr>
            <w:noProof/>
            <w:webHidden/>
          </w:rPr>
          <w:t>82</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65" w:history="1">
        <w:r w:rsidR="00871DEE" w:rsidRPr="00E66F98">
          <w:rPr>
            <w:rStyle w:val="Hyperlink"/>
            <w:noProof/>
          </w:rPr>
          <w:t>Abbildung 77: Wurzelbonitur gemäß EPPO Richtlinie 2011 - PP 1/212(2) Annex 2-  bewertet (Node – injury scale; n = 5 Maiswurzeln pro Versuchsparzelle). Alle Varianten konnten mit Wert 0,00 bestimmt werden. Auf dem Blatt sind die Varianten gekennzeichnet (V1) Nematoden + NICHT gebeiztes Saatgut; (V2) Pilzgerste + NICHT gebeiztes Saatgut; (V7) unbehandelte Parzelle (kein gebeiztes Saatgut) und (V8) Belem + NICHT gebeiztes Saatgut. Die zweite Zahl definiert die Reihe im Versuchsfeld 2 „Gomboc“.</w:t>
        </w:r>
        <w:r w:rsidR="00871DEE">
          <w:rPr>
            <w:noProof/>
            <w:webHidden/>
          </w:rPr>
          <w:tab/>
        </w:r>
        <w:r w:rsidR="00871DEE">
          <w:rPr>
            <w:noProof/>
            <w:webHidden/>
          </w:rPr>
          <w:fldChar w:fldCharType="begin"/>
        </w:r>
        <w:r w:rsidR="00871DEE">
          <w:rPr>
            <w:noProof/>
            <w:webHidden/>
          </w:rPr>
          <w:instrText xml:space="preserve"> PAGEREF _Toc7715465 \h </w:instrText>
        </w:r>
        <w:r w:rsidR="00871DEE">
          <w:rPr>
            <w:noProof/>
            <w:webHidden/>
          </w:rPr>
        </w:r>
        <w:r w:rsidR="00871DEE">
          <w:rPr>
            <w:noProof/>
            <w:webHidden/>
          </w:rPr>
          <w:fldChar w:fldCharType="separate"/>
        </w:r>
        <w:r w:rsidR="00871DEE">
          <w:rPr>
            <w:noProof/>
            <w:webHidden/>
          </w:rPr>
          <w:t>84</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66" w:history="1">
        <w:r w:rsidR="00871DEE" w:rsidRPr="00E66F98">
          <w:rPr>
            <w:rStyle w:val="Hyperlink"/>
            <w:noProof/>
          </w:rPr>
          <w:t>Abbildung 78: Anzahl der bonitierten Pflanzen gereiht nach Intensität der Gänsehalssymptome. Neigungsgrade von 1 bis 4: 1 = komplett aufrecht; 2 = leichte Neigung bis 30 ° von vertikal mit Gänsehals; 3 =starke Neigung über 30 ° von vertikal mit Gänsehals; 4 = Pflanze lagert – Erntehindernis (n= 35.000).</w:t>
        </w:r>
        <w:r w:rsidR="00871DEE">
          <w:rPr>
            <w:noProof/>
            <w:webHidden/>
          </w:rPr>
          <w:tab/>
        </w:r>
        <w:r w:rsidR="00871DEE">
          <w:rPr>
            <w:noProof/>
            <w:webHidden/>
          </w:rPr>
          <w:fldChar w:fldCharType="begin"/>
        </w:r>
        <w:r w:rsidR="00871DEE">
          <w:rPr>
            <w:noProof/>
            <w:webHidden/>
          </w:rPr>
          <w:instrText xml:space="preserve"> PAGEREF _Toc7715466 \h </w:instrText>
        </w:r>
        <w:r w:rsidR="00871DEE">
          <w:rPr>
            <w:noProof/>
            <w:webHidden/>
          </w:rPr>
        </w:r>
        <w:r w:rsidR="00871DEE">
          <w:rPr>
            <w:noProof/>
            <w:webHidden/>
          </w:rPr>
          <w:fldChar w:fldCharType="separate"/>
        </w:r>
        <w:r w:rsidR="00871DEE">
          <w:rPr>
            <w:noProof/>
            <w:webHidden/>
          </w:rPr>
          <w:t>85</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67" w:history="1">
        <w:r w:rsidR="00871DEE" w:rsidRPr="00E66F98">
          <w:rPr>
            <w:rStyle w:val="Hyperlink"/>
            <w:noProof/>
          </w:rPr>
          <w:t>Abbildung 79: Niederschlagsmenge pro Monat in mm für die Pflanzsaison 2017 und 2018 (zur Verfügung gestellt von RWA Donnersdorf; Datenquelle ZAMG ©).</w:t>
        </w:r>
        <w:r w:rsidR="00871DEE">
          <w:rPr>
            <w:noProof/>
            <w:webHidden/>
          </w:rPr>
          <w:tab/>
        </w:r>
        <w:r w:rsidR="00871DEE">
          <w:rPr>
            <w:noProof/>
            <w:webHidden/>
          </w:rPr>
          <w:fldChar w:fldCharType="begin"/>
        </w:r>
        <w:r w:rsidR="00871DEE">
          <w:rPr>
            <w:noProof/>
            <w:webHidden/>
          </w:rPr>
          <w:instrText xml:space="preserve"> PAGEREF _Toc7715467 \h </w:instrText>
        </w:r>
        <w:r w:rsidR="00871DEE">
          <w:rPr>
            <w:noProof/>
            <w:webHidden/>
          </w:rPr>
        </w:r>
        <w:r w:rsidR="00871DEE">
          <w:rPr>
            <w:noProof/>
            <w:webHidden/>
          </w:rPr>
          <w:fldChar w:fldCharType="separate"/>
        </w:r>
        <w:r w:rsidR="00871DEE">
          <w:rPr>
            <w:noProof/>
            <w:webHidden/>
          </w:rPr>
          <w:t>86</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68" w:history="1">
        <w:r w:rsidR="00871DEE" w:rsidRPr="00E66F98">
          <w:rPr>
            <w:rStyle w:val="Hyperlink"/>
            <w:rFonts w:eastAsia="Times New Roman"/>
            <w:noProof/>
            <w:lang w:eastAsia="de-DE"/>
          </w:rPr>
          <w:t xml:space="preserve"> </w:t>
        </w:r>
        <w:r w:rsidR="00871DEE" w:rsidRPr="00E66F98">
          <w:rPr>
            <w:rStyle w:val="Hyperlink"/>
            <w:noProof/>
          </w:rPr>
          <w:t>Abbildung 80: Der Versuchsstandort hatte keinen unmittelbaren Einfluss auf den Ernteertrag. Gemäß Spearman Rho Test kann auch kein direkter Zusammenhang zwischen dem Ertrag und den Versuchsstandorten festgestellt werden (R</w:t>
        </w:r>
        <w:r w:rsidR="00871DEE" w:rsidRPr="00E66F98">
          <w:rPr>
            <w:rStyle w:val="Hyperlink"/>
            <w:noProof/>
            <w:vertAlign w:val="superscript"/>
          </w:rPr>
          <w:t>2</w:t>
        </w:r>
        <w:r w:rsidR="00871DEE" w:rsidRPr="00E66F98">
          <w:rPr>
            <w:rStyle w:val="Hyperlink"/>
            <w:noProof/>
          </w:rPr>
          <w:t xml:space="preserve"> = 0,317, n=144).</w:t>
        </w:r>
        <w:r w:rsidR="00871DEE">
          <w:rPr>
            <w:noProof/>
            <w:webHidden/>
          </w:rPr>
          <w:tab/>
        </w:r>
        <w:r w:rsidR="00871DEE">
          <w:rPr>
            <w:noProof/>
            <w:webHidden/>
          </w:rPr>
          <w:fldChar w:fldCharType="begin"/>
        </w:r>
        <w:r w:rsidR="00871DEE">
          <w:rPr>
            <w:noProof/>
            <w:webHidden/>
          </w:rPr>
          <w:instrText xml:space="preserve"> PAGEREF _Toc7715468 \h </w:instrText>
        </w:r>
        <w:r w:rsidR="00871DEE">
          <w:rPr>
            <w:noProof/>
            <w:webHidden/>
          </w:rPr>
        </w:r>
        <w:r w:rsidR="00871DEE">
          <w:rPr>
            <w:noProof/>
            <w:webHidden/>
          </w:rPr>
          <w:fldChar w:fldCharType="separate"/>
        </w:r>
        <w:r w:rsidR="00871DEE">
          <w:rPr>
            <w:noProof/>
            <w:webHidden/>
          </w:rPr>
          <w:t>86</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69" w:history="1">
        <w:r w:rsidR="00871DEE" w:rsidRPr="00E66F98">
          <w:rPr>
            <w:rStyle w:val="Hyperlink"/>
            <w:rFonts w:eastAsia="Times New Roman"/>
            <w:noProof/>
          </w:rPr>
          <w:t xml:space="preserve"> </w:t>
        </w:r>
        <w:r w:rsidR="00871DEE" w:rsidRPr="00E66F98">
          <w:rPr>
            <w:rStyle w:val="Hyperlink"/>
            <w:noProof/>
          </w:rPr>
          <w:t>Abbildung 81: Ertrag in Abhängigkeit der Wirkstoffe. Es besteht kein linearer Zusammenhang zwischen den einzelnen Varianten (Wirkstoffen) und dem Ernteertag pro Hektar</w:t>
        </w:r>
        <w:r w:rsidR="00871DEE">
          <w:rPr>
            <w:noProof/>
            <w:webHidden/>
          </w:rPr>
          <w:tab/>
        </w:r>
        <w:r w:rsidR="00871DEE">
          <w:rPr>
            <w:noProof/>
            <w:webHidden/>
          </w:rPr>
          <w:fldChar w:fldCharType="begin"/>
        </w:r>
        <w:r w:rsidR="00871DEE">
          <w:rPr>
            <w:noProof/>
            <w:webHidden/>
          </w:rPr>
          <w:instrText xml:space="preserve"> PAGEREF _Toc7715469 \h </w:instrText>
        </w:r>
        <w:r w:rsidR="00871DEE">
          <w:rPr>
            <w:noProof/>
            <w:webHidden/>
          </w:rPr>
        </w:r>
        <w:r w:rsidR="00871DEE">
          <w:rPr>
            <w:noProof/>
            <w:webHidden/>
          </w:rPr>
          <w:fldChar w:fldCharType="separate"/>
        </w:r>
        <w:r w:rsidR="00871DEE">
          <w:rPr>
            <w:noProof/>
            <w:webHidden/>
          </w:rPr>
          <w:t>87</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70" w:history="1">
        <w:r w:rsidR="00871DEE" w:rsidRPr="00E66F98">
          <w:rPr>
            <w:rStyle w:val="Hyperlink"/>
            <w:noProof/>
          </w:rPr>
          <w:t>Abbildung 82: Metarhizium Abundanz vor und nach der Applikation der biologischen Wirkstoffe auf den Versuchsflächen Siloacker, Gomboc und Langacker in Dedenitz (Steiermark): Metarhizium = GranMet</w:t>
        </w:r>
        <w:r w:rsidR="00871DEE" w:rsidRPr="00E66F98">
          <w:rPr>
            <w:rStyle w:val="Hyperlink"/>
            <w:noProof/>
            <w:vertAlign w:val="superscript"/>
          </w:rPr>
          <w:t>TM</w:t>
        </w:r>
        <w:r w:rsidR="00871DEE" w:rsidRPr="00E66F98">
          <w:rPr>
            <w:rStyle w:val="Hyperlink"/>
            <w:noProof/>
          </w:rPr>
          <w:t xml:space="preserve"> Pilzgerste (50 kg/ha) + NICHT gebeiztes Saatgut; Bakterien + Metarhizium = Stenotrophomonas gebeiztes Saatgut in Kombination GranMet</w:t>
        </w:r>
        <w:r w:rsidR="00871DEE" w:rsidRPr="00E66F98">
          <w:rPr>
            <w:rStyle w:val="Hyperlink"/>
            <w:noProof/>
            <w:vertAlign w:val="superscript"/>
          </w:rPr>
          <w:t>TM</w:t>
        </w:r>
        <w:r w:rsidR="00871DEE" w:rsidRPr="00E66F98">
          <w:rPr>
            <w:rStyle w:val="Hyperlink"/>
            <w:noProof/>
          </w:rPr>
          <w:t>; Nematoden + Metarhizium = dianem</w:t>
        </w:r>
        <w:r w:rsidR="00871DEE" w:rsidRPr="00E66F98">
          <w:rPr>
            <w:rStyle w:val="Hyperlink"/>
            <w:noProof/>
            <w:vertAlign w:val="superscript"/>
          </w:rPr>
          <w:t>TM</w:t>
        </w:r>
        <w:r w:rsidR="00871DEE" w:rsidRPr="00E66F98">
          <w:rPr>
            <w:rStyle w:val="Hyperlink"/>
            <w:noProof/>
          </w:rPr>
          <w:t xml:space="preserve"> und GranMet</w:t>
        </w:r>
        <w:r w:rsidR="00871DEE" w:rsidRPr="00E66F98">
          <w:rPr>
            <w:rStyle w:val="Hyperlink"/>
            <w:noProof/>
            <w:vertAlign w:val="superscript"/>
          </w:rPr>
          <w:t>TM</w:t>
        </w:r>
        <w:r w:rsidR="00871DEE" w:rsidRPr="00E66F98">
          <w:rPr>
            <w:rStyle w:val="Hyperlink"/>
            <w:noProof/>
          </w:rPr>
          <w:t>; Kontrolle = unbehandelte Parzellen (n=6). Der Pfleil symbolisiert die Wirkstoffapplikation am 13.April 2018.</w:t>
        </w:r>
        <w:r w:rsidR="00871DEE">
          <w:rPr>
            <w:noProof/>
            <w:webHidden/>
          </w:rPr>
          <w:tab/>
        </w:r>
        <w:r w:rsidR="00871DEE">
          <w:rPr>
            <w:noProof/>
            <w:webHidden/>
          </w:rPr>
          <w:fldChar w:fldCharType="begin"/>
        </w:r>
        <w:r w:rsidR="00871DEE">
          <w:rPr>
            <w:noProof/>
            <w:webHidden/>
          </w:rPr>
          <w:instrText xml:space="preserve"> PAGEREF _Toc7715470 \h </w:instrText>
        </w:r>
        <w:r w:rsidR="00871DEE">
          <w:rPr>
            <w:noProof/>
            <w:webHidden/>
          </w:rPr>
        </w:r>
        <w:r w:rsidR="00871DEE">
          <w:rPr>
            <w:noProof/>
            <w:webHidden/>
          </w:rPr>
          <w:fldChar w:fldCharType="separate"/>
        </w:r>
        <w:r w:rsidR="00871DEE">
          <w:rPr>
            <w:noProof/>
            <w:webHidden/>
          </w:rPr>
          <w:t>88</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71" w:history="1">
        <w:r w:rsidR="00871DEE" w:rsidRPr="00E66F98">
          <w:rPr>
            <w:rStyle w:val="Hyperlink"/>
            <w:noProof/>
          </w:rPr>
          <w:t>Abbildung 83: Metarhizium brunneum verpilzte Diabrotica-Larve (L3), nach Behandlung mit GranMet</w:t>
        </w:r>
        <w:r w:rsidR="00871DEE" w:rsidRPr="00E66F98">
          <w:rPr>
            <w:rStyle w:val="Hyperlink"/>
            <w:noProof/>
            <w:vertAlign w:val="superscript"/>
          </w:rPr>
          <w:t>TM</w:t>
        </w:r>
        <w:r w:rsidR="00871DEE" w:rsidRPr="00E66F98">
          <w:rPr>
            <w:rStyle w:val="Hyperlink"/>
            <w:noProof/>
          </w:rPr>
          <w:t>.</w:t>
        </w:r>
        <w:r w:rsidR="00871DEE">
          <w:rPr>
            <w:noProof/>
            <w:webHidden/>
          </w:rPr>
          <w:tab/>
        </w:r>
        <w:r w:rsidR="00871DEE">
          <w:rPr>
            <w:noProof/>
            <w:webHidden/>
          </w:rPr>
          <w:fldChar w:fldCharType="begin"/>
        </w:r>
        <w:r w:rsidR="00871DEE">
          <w:rPr>
            <w:noProof/>
            <w:webHidden/>
          </w:rPr>
          <w:instrText xml:space="preserve"> PAGEREF _Toc7715471 \h </w:instrText>
        </w:r>
        <w:r w:rsidR="00871DEE">
          <w:rPr>
            <w:noProof/>
            <w:webHidden/>
          </w:rPr>
        </w:r>
        <w:r w:rsidR="00871DEE">
          <w:rPr>
            <w:noProof/>
            <w:webHidden/>
          </w:rPr>
          <w:fldChar w:fldCharType="separate"/>
        </w:r>
        <w:r w:rsidR="00871DEE">
          <w:rPr>
            <w:noProof/>
            <w:webHidden/>
          </w:rPr>
          <w:t>88</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72" w:history="1">
        <w:r w:rsidR="00871DEE" w:rsidRPr="00E66F98">
          <w:rPr>
            <w:rStyle w:val="Hyperlink"/>
            <w:noProof/>
          </w:rPr>
          <w:t xml:space="preserve"> Abbildung 84 (oben): Kunststoffrohre, welche nach oben und unten offen waren, wurden auf dem Versuchsfeld in Wien Donaustadt eingegraben. Anschließend wurden sie mit zwei verschiedenen Böden befüllt, welche zuvor mit Pilzgerste, Pilzgerste-Maisstroh-Gemisch oder Vermiculitsubstrat vermischt worden waren.</w:t>
        </w:r>
        <w:r w:rsidR="00871DEE">
          <w:rPr>
            <w:noProof/>
            <w:webHidden/>
          </w:rPr>
          <w:tab/>
        </w:r>
        <w:r w:rsidR="00871DEE">
          <w:rPr>
            <w:noProof/>
            <w:webHidden/>
          </w:rPr>
          <w:fldChar w:fldCharType="begin"/>
        </w:r>
        <w:r w:rsidR="00871DEE">
          <w:rPr>
            <w:noProof/>
            <w:webHidden/>
          </w:rPr>
          <w:instrText xml:space="preserve"> PAGEREF _Toc7715472 \h </w:instrText>
        </w:r>
        <w:r w:rsidR="00871DEE">
          <w:rPr>
            <w:noProof/>
            <w:webHidden/>
          </w:rPr>
        </w:r>
        <w:r w:rsidR="00871DEE">
          <w:rPr>
            <w:noProof/>
            <w:webHidden/>
          </w:rPr>
          <w:fldChar w:fldCharType="separate"/>
        </w:r>
        <w:r w:rsidR="00871DEE">
          <w:rPr>
            <w:noProof/>
            <w:webHidden/>
          </w:rPr>
          <w:t>92</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73" w:history="1">
        <w:r w:rsidR="00871DEE" w:rsidRPr="00E66F98">
          <w:rPr>
            <w:rStyle w:val="Hyperlink"/>
            <w:noProof/>
          </w:rPr>
          <w:t>Abbildung 85(links): Versuchsplan des Überwinterungsversuches in Wien, Donaustadt.</w:t>
        </w:r>
        <w:r w:rsidR="00871DEE">
          <w:rPr>
            <w:noProof/>
            <w:webHidden/>
          </w:rPr>
          <w:tab/>
        </w:r>
        <w:r w:rsidR="00871DEE">
          <w:rPr>
            <w:noProof/>
            <w:webHidden/>
          </w:rPr>
          <w:fldChar w:fldCharType="begin"/>
        </w:r>
        <w:r w:rsidR="00871DEE">
          <w:rPr>
            <w:noProof/>
            <w:webHidden/>
          </w:rPr>
          <w:instrText xml:space="preserve"> PAGEREF _Toc7715473 \h </w:instrText>
        </w:r>
        <w:r w:rsidR="00871DEE">
          <w:rPr>
            <w:noProof/>
            <w:webHidden/>
          </w:rPr>
        </w:r>
        <w:r w:rsidR="00871DEE">
          <w:rPr>
            <w:noProof/>
            <w:webHidden/>
          </w:rPr>
          <w:fldChar w:fldCharType="separate"/>
        </w:r>
        <w:r w:rsidR="00871DEE">
          <w:rPr>
            <w:noProof/>
            <w:webHidden/>
          </w:rPr>
          <w:t>92</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74" w:history="1">
        <w:r w:rsidR="00871DEE" w:rsidRPr="00E66F98">
          <w:rPr>
            <w:rStyle w:val="Hyperlink"/>
            <w:noProof/>
          </w:rPr>
          <w:t>Abbildung 86: Vergleich der mittleren Anzahl kolonienbildender Einheiten pro Gramm Erde von 6. Dezember 2018 bis 12. März 2018 im Labor und im Freiland gelagertem Boden in Abhängigkeit von der Variante.</w:t>
        </w:r>
        <w:r w:rsidR="00871DEE">
          <w:rPr>
            <w:noProof/>
            <w:webHidden/>
          </w:rPr>
          <w:tab/>
        </w:r>
        <w:r w:rsidR="00871DEE">
          <w:rPr>
            <w:noProof/>
            <w:webHidden/>
          </w:rPr>
          <w:fldChar w:fldCharType="begin"/>
        </w:r>
        <w:r w:rsidR="00871DEE">
          <w:rPr>
            <w:noProof/>
            <w:webHidden/>
          </w:rPr>
          <w:instrText xml:space="preserve"> PAGEREF _Toc7715474 \h </w:instrText>
        </w:r>
        <w:r w:rsidR="00871DEE">
          <w:rPr>
            <w:noProof/>
            <w:webHidden/>
          </w:rPr>
        </w:r>
        <w:r w:rsidR="00871DEE">
          <w:rPr>
            <w:noProof/>
            <w:webHidden/>
          </w:rPr>
          <w:fldChar w:fldCharType="separate"/>
        </w:r>
        <w:r w:rsidR="00871DEE">
          <w:rPr>
            <w:noProof/>
            <w:webHidden/>
          </w:rPr>
          <w:t>93</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75" w:history="1">
        <w:r w:rsidR="00871DEE" w:rsidRPr="00E66F98">
          <w:rPr>
            <w:rStyle w:val="Hyperlink"/>
            <w:noProof/>
          </w:rPr>
          <w:t>Abbildung 87: Vergleich der mittleren Anzahl kolonienbildender Einheiten pro Gramm Erde von 6. Dezember 2018 bis 7. Juni 2018 im Labor und im Freiland gelagertem Boden in Abhängigkeit von der Variante.</w:t>
        </w:r>
        <w:r w:rsidR="00871DEE">
          <w:rPr>
            <w:noProof/>
            <w:webHidden/>
          </w:rPr>
          <w:tab/>
        </w:r>
        <w:r w:rsidR="00871DEE">
          <w:rPr>
            <w:noProof/>
            <w:webHidden/>
          </w:rPr>
          <w:fldChar w:fldCharType="begin"/>
        </w:r>
        <w:r w:rsidR="00871DEE">
          <w:rPr>
            <w:noProof/>
            <w:webHidden/>
          </w:rPr>
          <w:instrText xml:space="preserve"> PAGEREF _Toc7715475 \h </w:instrText>
        </w:r>
        <w:r w:rsidR="00871DEE">
          <w:rPr>
            <w:noProof/>
            <w:webHidden/>
          </w:rPr>
        </w:r>
        <w:r w:rsidR="00871DEE">
          <w:rPr>
            <w:noProof/>
            <w:webHidden/>
          </w:rPr>
          <w:fldChar w:fldCharType="separate"/>
        </w:r>
        <w:r w:rsidR="00871DEE">
          <w:rPr>
            <w:noProof/>
            <w:webHidden/>
          </w:rPr>
          <w:t>94</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76" w:history="1">
        <w:r w:rsidR="00871DEE" w:rsidRPr="00E66F98">
          <w:rPr>
            <w:rStyle w:val="Hyperlink"/>
            <w:noProof/>
          </w:rPr>
          <w:t>Abbildung 88: Mit M. chlamydosporia infizierte Helicoverpa-Puppen.</w:t>
        </w:r>
        <w:r w:rsidR="00871DEE">
          <w:rPr>
            <w:noProof/>
            <w:webHidden/>
          </w:rPr>
          <w:tab/>
        </w:r>
        <w:r w:rsidR="00871DEE">
          <w:rPr>
            <w:noProof/>
            <w:webHidden/>
          </w:rPr>
          <w:fldChar w:fldCharType="begin"/>
        </w:r>
        <w:r w:rsidR="00871DEE">
          <w:rPr>
            <w:noProof/>
            <w:webHidden/>
          </w:rPr>
          <w:instrText xml:space="preserve"> PAGEREF _Toc7715476 \h </w:instrText>
        </w:r>
        <w:r w:rsidR="00871DEE">
          <w:rPr>
            <w:noProof/>
            <w:webHidden/>
          </w:rPr>
        </w:r>
        <w:r w:rsidR="00871DEE">
          <w:rPr>
            <w:noProof/>
            <w:webHidden/>
          </w:rPr>
          <w:fldChar w:fldCharType="separate"/>
        </w:r>
        <w:r w:rsidR="00871DEE">
          <w:rPr>
            <w:noProof/>
            <w:webHidden/>
          </w:rPr>
          <w:t>95</w:t>
        </w:r>
        <w:r w:rsidR="00871DEE">
          <w:rPr>
            <w:noProof/>
            <w:webHidden/>
          </w:rPr>
          <w:fldChar w:fldCharType="end"/>
        </w:r>
      </w:hyperlink>
    </w:p>
    <w:p w:rsidR="00871DEE" w:rsidRDefault="00ED396A">
      <w:pPr>
        <w:pStyle w:val="Abbildungsverzeichnis"/>
        <w:tabs>
          <w:tab w:val="right" w:leader="dot" w:pos="9168"/>
        </w:tabs>
        <w:rPr>
          <w:rFonts w:asciiTheme="minorHAnsi" w:hAnsiTheme="minorHAnsi" w:cstheme="minorBidi"/>
          <w:noProof/>
          <w:sz w:val="22"/>
          <w:szCs w:val="22"/>
          <w:lang w:val="de-DE" w:eastAsia="de-DE"/>
        </w:rPr>
      </w:pPr>
      <w:hyperlink w:anchor="_Toc7715477" w:history="1">
        <w:r w:rsidR="00871DEE" w:rsidRPr="00E66F98">
          <w:rPr>
            <w:rStyle w:val="Hyperlink"/>
            <w:noProof/>
          </w:rPr>
          <w:t>Abbildung 89: Helicoverpa-Raupe auf mit M. chlamydosporia behandelter Rispentomate.</w:t>
        </w:r>
        <w:r w:rsidR="00871DEE">
          <w:rPr>
            <w:noProof/>
            <w:webHidden/>
          </w:rPr>
          <w:tab/>
        </w:r>
        <w:r w:rsidR="00871DEE">
          <w:rPr>
            <w:noProof/>
            <w:webHidden/>
          </w:rPr>
          <w:fldChar w:fldCharType="begin"/>
        </w:r>
        <w:r w:rsidR="00871DEE">
          <w:rPr>
            <w:noProof/>
            <w:webHidden/>
          </w:rPr>
          <w:instrText xml:space="preserve"> PAGEREF _Toc7715477 \h </w:instrText>
        </w:r>
        <w:r w:rsidR="00871DEE">
          <w:rPr>
            <w:noProof/>
            <w:webHidden/>
          </w:rPr>
        </w:r>
        <w:r w:rsidR="00871DEE">
          <w:rPr>
            <w:noProof/>
            <w:webHidden/>
          </w:rPr>
          <w:fldChar w:fldCharType="separate"/>
        </w:r>
        <w:r w:rsidR="00871DEE">
          <w:rPr>
            <w:noProof/>
            <w:webHidden/>
          </w:rPr>
          <w:t>95</w:t>
        </w:r>
        <w:r w:rsidR="00871DEE">
          <w:rPr>
            <w:noProof/>
            <w:webHidden/>
          </w:rPr>
          <w:fldChar w:fldCharType="end"/>
        </w:r>
      </w:hyperlink>
    </w:p>
    <w:p w:rsidR="00470727" w:rsidRDefault="00E23665" w:rsidP="006225BA">
      <w:pPr>
        <w:pStyle w:val="Flietext"/>
        <w:sectPr w:rsidR="00470727" w:rsidSect="007E655A">
          <w:headerReference w:type="first" r:id="rId148"/>
          <w:pgSz w:w="11900" w:h="16840"/>
          <w:pgMar w:top="1361" w:right="1361" w:bottom="1361" w:left="1361" w:header="680" w:footer="680" w:gutter="0"/>
          <w:cols w:space="708"/>
          <w:titlePg/>
        </w:sectPr>
      </w:pPr>
      <w:r>
        <w:rPr>
          <w:color w:val="auto"/>
        </w:rPr>
        <w:fldChar w:fldCharType="end"/>
      </w:r>
    </w:p>
    <w:p w:rsidR="005C1CA0" w:rsidRDefault="00D751A4" w:rsidP="00D751A4">
      <w:pPr>
        <w:pStyle w:val="Flietext"/>
        <w:tabs>
          <w:tab w:val="left" w:pos="4136"/>
        </w:tabs>
        <w:rPr>
          <w:sz w:val="18"/>
          <w:szCs w:val="18"/>
        </w:rPr>
      </w:pPr>
      <w:r>
        <w:rPr>
          <w:sz w:val="18"/>
          <w:szCs w:val="18"/>
        </w:rPr>
        <w:tab/>
        <w:t>AuftragnehmerIn</w:t>
      </w:r>
    </w:p>
    <w:sectPr w:rsidR="005C1CA0" w:rsidSect="00E07A69">
      <w:headerReference w:type="first" r:id="rId149"/>
      <w:footerReference w:type="first" r:id="rId150"/>
      <w:pgSz w:w="11900" w:h="16840"/>
      <w:pgMar w:top="14884" w:right="907" w:bottom="709" w:left="907" w:header="680" w:footer="599"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07C29" w:rsidRDefault="00B07C29" w:rsidP="00913D1F">
      <w:r>
        <w:separator/>
      </w:r>
    </w:p>
    <w:p w:rsidR="00B07C29" w:rsidRDefault="00B07C29"/>
  </w:endnote>
  <w:endnote w:type="continuationSeparator" w:id="0">
    <w:p w:rsidR="00B07C29" w:rsidRDefault="00B07C29" w:rsidP="00913D1F">
      <w:r>
        <w:continuationSeparator/>
      </w:r>
    </w:p>
    <w:p w:rsidR="00B07C29" w:rsidRDefault="00B07C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etaCorr">
    <w:altName w:val="Century Gothic"/>
    <w:charset w:val="00"/>
    <w:family w:val="auto"/>
    <w:pitch w:val="variable"/>
    <w:sig w:usb0="80000027" w:usb1="00000000" w:usb2="00000000" w:usb3="00000000" w:csb0="00000001" w:csb1="00000000"/>
  </w:font>
  <w:font w:name="AdvPSHEL">
    <w:altName w:val="Cambria"/>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CambriaMath">
    <w:altName w:val="MS Gothic"/>
    <w:panose1 w:val="00000000000000000000"/>
    <w:charset w:val="80"/>
    <w:family w:val="auto"/>
    <w:notTrueType/>
    <w:pitch w:val="default"/>
    <w:sig w:usb0="00000000" w:usb1="08070000" w:usb2="00000010" w:usb3="00000000" w:csb0="00020000" w:csb1="00000000"/>
  </w:font>
  <w:font w:name="TimesNewRomanPSMT">
    <w:altName w:val="MS Gothic"/>
    <w:panose1 w:val="00000000000000000000"/>
    <w:charset w:val="80"/>
    <w:family w:val="auto"/>
    <w:notTrueType/>
    <w:pitch w:val="default"/>
    <w:sig w:usb0="00000000" w:usb1="08070000" w:usb2="00000010" w:usb3="00000000" w:csb0="0002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mbria,Italic">
    <w:altName w:val="Cambria"/>
    <w:panose1 w:val="00000000000000000000"/>
    <w:charset w:val="00"/>
    <w:family w:val="auto"/>
    <w:notTrueType/>
    <w:pitch w:val="default"/>
    <w:sig w:usb0="00000003" w:usb1="00000000" w:usb2="00000000" w:usb3="00000000" w:csb0="00000001" w:csb1="00000000"/>
  </w:font>
  <w:font w:name="Verdana-Italic">
    <w:altName w:val="Verdana"/>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7C29" w:rsidRDefault="00B07C29" w:rsidP="00D5521D">
    <w:pPr>
      <w:pStyle w:val="Fuzeile"/>
    </w:pPr>
    <w:r>
      <w:rPr>
        <w:rStyle w:val="Seitenzahl"/>
      </w:rPr>
      <w:t xml:space="preserve">-- </w:t>
    </w:r>
    <w:r>
      <w:rPr>
        <w:rStyle w:val="Seitenzahl"/>
      </w:rPr>
      <w:fldChar w:fldCharType="begin"/>
    </w:r>
    <w:r>
      <w:rPr>
        <w:rStyle w:val="Seitenzahl"/>
      </w:rPr>
      <w:instrText xml:space="preserve"> PAGE </w:instrText>
    </w:r>
    <w:r>
      <w:rPr>
        <w:rStyle w:val="Seitenzahl"/>
      </w:rPr>
      <w:fldChar w:fldCharType="separate"/>
    </w:r>
    <w:r w:rsidR="00ED396A">
      <w:rPr>
        <w:rStyle w:val="Seitenzahl"/>
        <w:noProof/>
      </w:rPr>
      <w:t>21</w:t>
    </w:r>
    <w:r>
      <w:rPr>
        <w:rStyle w:val="Seitenzahl"/>
      </w:rPr>
      <w:fldChar w:fldCharType="end"/>
    </w:r>
    <w:r>
      <w:rPr>
        <w:rStyle w:val="Seitenzahl"/>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7C29" w:rsidRPr="00B0478C" w:rsidRDefault="00B07C29" w:rsidP="00D5521D">
    <w:pPr>
      <w:pStyle w:val="Fuzeile"/>
      <w:rPr>
        <w:lang w:val="de-DE"/>
      </w:rPr>
    </w:pPr>
    <w:r>
      <w:rPr>
        <w:lang w:val="de-DE"/>
      </w:rPr>
      <w:t>-- 2 --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7C29" w:rsidRPr="00D5521D" w:rsidRDefault="00B07C29" w:rsidP="00D5521D">
    <w:pPr>
      <w:pStyle w:val="Fuzeile"/>
    </w:pPr>
    <w:r w:rsidRPr="00D5521D">
      <w:t xml:space="preserve">-- </w:t>
    </w:r>
    <w:r w:rsidRPr="00D5521D">
      <w:fldChar w:fldCharType="begin"/>
    </w:r>
    <w:r w:rsidRPr="00D5521D">
      <w:instrText xml:space="preserve"> PAGE </w:instrText>
    </w:r>
    <w:r w:rsidRPr="00D5521D">
      <w:fldChar w:fldCharType="separate"/>
    </w:r>
    <w:r w:rsidR="00ED396A">
      <w:rPr>
        <w:noProof/>
      </w:rPr>
      <w:t>7</w:t>
    </w:r>
    <w:r w:rsidRPr="00D5521D">
      <w:fldChar w:fldCharType="end"/>
    </w:r>
    <w:r w:rsidRPr="00D5521D">
      <w:t xml:space="preserve"> --</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7C29" w:rsidRPr="006F480B" w:rsidRDefault="00871DEE" w:rsidP="00207713">
    <w:pPr>
      <w:jc w:val="right"/>
      <w:rPr>
        <w:sz w:val="18"/>
        <w:szCs w:val="18"/>
      </w:rPr>
    </w:pPr>
    <w:r>
      <w:rPr>
        <w:noProof/>
        <w:lang w:eastAsia="de-AT"/>
      </w:rPr>
      <w:drawing>
        <wp:anchor distT="0" distB="0" distL="114300" distR="114300" simplePos="0" relativeHeight="251668480" behindDoc="1" locked="0" layoutInCell="1" allowOverlap="1" wp14:anchorId="50D7E483" wp14:editId="056656A0">
          <wp:simplePos x="0" y="0"/>
          <wp:positionH relativeFrom="margin">
            <wp:align>center</wp:align>
          </wp:positionH>
          <wp:positionV relativeFrom="paragraph">
            <wp:posOffset>-1793240</wp:posOffset>
          </wp:positionV>
          <wp:extent cx="1649095" cy="976630"/>
          <wp:effectExtent l="0" t="0" r="8255" b="0"/>
          <wp:wrapTight wrapText="bothSides">
            <wp:wrapPolygon edited="0">
              <wp:start x="14971" y="0"/>
              <wp:lineTo x="16718" y="6741"/>
              <wp:lineTo x="2246" y="8427"/>
              <wp:lineTo x="250" y="9269"/>
              <wp:lineTo x="0" y="14325"/>
              <wp:lineTo x="0" y="16853"/>
              <wp:lineTo x="17466" y="20224"/>
              <wp:lineTo x="17466" y="21066"/>
              <wp:lineTo x="18714" y="21066"/>
              <wp:lineTo x="21459" y="21066"/>
              <wp:lineTo x="21459" y="19381"/>
              <wp:lineTo x="19712" y="13482"/>
              <wp:lineTo x="19712" y="6741"/>
              <wp:lineTo x="21209" y="2949"/>
              <wp:lineTo x="20710" y="1685"/>
              <wp:lineTo x="16219" y="0"/>
              <wp:lineTo x="14971" y="0"/>
            </wp:wrapPolygon>
          </wp:wrapTight>
          <wp:docPr id="9324" name="Logo" descr="Unternehmenslogo der Österreichische Agentur für Gesundheit und Ernährungssicherheit GmbH" title="Unternehmenslogo 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go" descr="Unternehmenslogo der Österreichische Agentur für Gesundheit und Ernährungssicherheit GmbH" title="Unternehmenslogo AGES"/>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9095" cy="976630"/>
                  </a:xfrm>
                  <a:prstGeom prst="rect">
                    <a:avLst/>
                  </a:prstGeom>
                  <a:noFill/>
                  <a:ln>
                    <a:noFill/>
                  </a:ln>
                  <a:extLst/>
                </pic:spPr>
              </pic:pic>
            </a:graphicData>
          </a:graphic>
          <wp14:sizeRelH relativeFrom="page">
            <wp14:pctWidth>0</wp14:pctWidth>
          </wp14:sizeRelH>
          <wp14:sizeRelV relativeFrom="page">
            <wp14:pctHeight>0</wp14:pctHeight>
          </wp14:sizeRelV>
        </wp:anchor>
      </w:drawing>
    </w:r>
    <w:hyperlink r:id="rId2" w:history="1"/>
  </w:p>
  <w:p w:rsidR="00B07C29" w:rsidRDefault="00B07C29" w:rsidP="00D5521D">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07C29" w:rsidRDefault="00B07C29" w:rsidP="00913D1F">
      <w:r>
        <w:separator/>
      </w:r>
    </w:p>
    <w:p w:rsidR="00B07C29" w:rsidRDefault="00B07C29"/>
  </w:footnote>
  <w:footnote w:type="continuationSeparator" w:id="0">
    <w:p w:rsidR="00B07C29" w:rsidRDefault="00B07C29" w:rsidP="00913D1F">
      <w:r>
        <w:continuationSeparator/>
      </w:r>
    </w:p>
    <w:p w:rsidR="00B07C29" w:rsidRDefault="00B07C29"/>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7C29" w:rsidRDefault="00B07C29">
    <w:pPr>
      <w:pStyle w:val="Kopfzeile"/>
    </w:pPr>
    <w:r>
      <w:t>Inhalt</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7C29" w:rsidRPr="00201EA4" w:rsidRDefault="00B07C29" w:rsidP="00723B9B">
    <w:pPr>
      <w:pStyle w:val="Kopfzeile"/>
      <w:rPr>
        <w:lang w:val="de-DE"/>
      </w:rPr>
    </w:pPr>
    <w:r>
      <w:rPr>
        <w:lang w:val="de-DE"/>
      </w:rPr>
      <w:t>Literatur</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7C29" w:rsidRDefault="00B07C29">
    <w:pPr>
      <w:pStyle w:val="Kopfzeile"/>
    </w:pPr>
    <w:r>
      <w:t>Anhang</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7C29" w:rsidRPr="00913D1F" w:rsidRDefault="00B07C29" w:rsidP="0029238A">
    <w:pPr>
      <w:pStyle w:val="Kopfzeile"/>
    </w:pPr>
    <w:r>
      <w:t>Tabellenverzeichnis, Abbildungsverzeichnis</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7C29" w:rsidRPr="00913D1F" w:rsidRDefault="00B07C29" w:rsidP="0029238A">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1162" w:rsidRDefault="00B51162">
    <w:pPr>
      <w:pStyle w:val="Kopfzeile"/>
    </w:pPr>
    <w:r>
      <w:rPr>
        <w:noProof/>
        <w:lang w:eastAsia="de-AT"/>
      </w:rPr>
      <w:drawing>
        <wp:anchor distT="0" distB="0" distL="114300" distR="114300" simplePos="0" relativeHeight="251666432" behindDoc="0" locked="0" layoutInCell="1" allowOverlap="1" wp14:anchorId="3156F389" wp14:editId="6FC99400">
          <wp:simplePos x="0" y="0"/>
          <wp:positionH relativeFrom="column">
            <wp:posOffset>1056005</wp:posOffset>
          </wp:positionH>
          <wp:positionV relativeFrom="paragraph">
            <wp:posOffset>-5086985</wp:posOffset>
          </wp:positionV>
          <wp:extent cx="4540250" cy="4044950"/>
          <wp:effectExtent l="0" t="0" r="0" b="0"/>
          <wp:wrapSquare wrapText="bothSides"/>
          <wp:docPr id="8" name="Grafik 8" descr="Projektlogo" title="Projektlogo"/>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1">
                    <a:extLst>
                      <a:ext uri="{28A0092B-C50C-407E-A947-70E740481C1C}">
                        <a14:useLocalDpi xmlns:a14="http://schemas.microsoft.com/office/drawing/2010/main" val="0"/>
                      </a:ext>
                    </a:extLst>
                  </a:blip>
                  <a:stretch>
                    <a:fillRect/>
                  </a:stretch>
                </pic:blipFill>
                <pic:spPr>
                  <a:xfrm>
                    <a:off x="0" y="0"/>
                    <a:ext cx="4540250" cy="404495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7C29" w:rsidRPr="00913D1F" w:rsidRDefault="00B07C29">
    <w:pPr>
      <w:pStyle w:val="Kopfzeile"/>
    </w:pPr>
    <w:r>
      <w:t>IMPRESSUM</w:t>
    </w:r>
    <w:r w:rsidR="00F45469" w:rsidRPr="00F45469">
      <w:rPr>
        <w:noProof/>
        <w:lang w:val="de-DE" w:eastAsia="de-DE"/>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7C29" w:rsidRDefault="000567E3">
    <w:pPr>
      <w:pStyle w:val="Kopfzeile"/>
      <w:rPr>
        <w:lang w:val="de-DE"/>
      </w:rPr>
    </w:pPr>
    <w:r>
      <w:rPr>
        <w:lang w:val="de-DE"/>
      </w:rPr>
      <w:t>Projekt Diacont</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7C29" w:rsidRPr="00913D1F" w:rsidRDefault="00B07C29">
    <w:pPr>
      <w:pStyle w:val="Kopfzeile"/>
    </w:pPr>
    <w:r>
      <w:t>Inhalt</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7C29" w:rsidRPr="0042516F" w:rsidRDefault="00B07C29">
    <w:pPr>
      <w:pStyle w:val="Kopfzeile"/>
      <w:rPr>
        <w:lang w:val="de-DE"/>
      </w:rPr>
    </w:pPr>
    <w:r>
      <w:rPr>
        <w:lang w:val="de-DE"/>
      </w:rPr>
      <w:t>Diacont</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7C29" w:rsidRPr="00D2126F" w:rsidRDefault="000567E3" w:rsidP="00585DC0">
    <w:pPr>
      <w:pStyle w:val="Kopfzeile"/>
      <w:rPr>
        <w:lang w:val="de-DE"/>
      </w:rPr>
    </w:pPr>
    <w:r>
      <w:rPr>
        <w:lang w:val="de-DE"/>
      </w:rPr>
      <w:t>Einleitung</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7C29" w:rsidRDefault="00B07C29">
    <w:pPr>
      <w:pStyle w:val="Kopfzeile"/>
    </w:pPr>
    <w:r>
      <w:t>Zukunftsweisende Massnahmen</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7C29" w:rsidRPr="00201EA4" w:rsidRDefault="00B07C29" w:rsidP="00723B9B">
    <w:pPr>
      <w:pStyle w:val="Kopfzeile"/>
      <w:rPr>
        <w:lang w:val="de-DE"/>
      </w:rPr>
    </w:pPr>
    <w:r>
      <w:rPr>
        <w:lang w:val="de-DE"/>
      </w:rPr>
      <w:t>Diacont</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E6682C"/>
    <w:multiLevelType w:val="multilevel"/>
    <w:tmpl w:val="92B82720"/>
    <w:lvl w:ilvl="0">
      <w:start w:val="1"/>
      <w:numFmt w:val="decimal"/>
      <w:pStyle w:val="berschrift118pt"/>
      <w:lvlText w:val="%1"/>
      <w:lvlJc w:val="left"/>
      <w:pPr>
        <w:ind w:left="1134" w:hanging="454"/>
      </w:pPr>
      <w:rPr>
        <w:rFonts w:hint="default"/>
      </w:rPr>
    </w:lvl>
    <w:lvl w:ilvl="1">
      <w:start w:val="1"/>
      <w:numFmt w:val="decimal"/>
      <w:pStyle w:val="1Unterkapitel"/>
      <w:lvlText w:val="%1.%2"/>
      <w:lvlJc w:val="left"/>
      <w:pPr>
        <w:ind w:left="1256" w:hanging="576"/>
      </w:pPr>
      <w:rPr>
        <w:rFonts w:hint="default"/>
      </w:rPr>
    </w:lvl>
    <w:lvl w:ilvl="2">
      <w:start w:val="1"/>
      <w:numFmt w:val="decimal"/>
      <w:pStyle w:val="11Unterkapitel"/>
      <w:lvlText w:val="%1.%2.%3"/>
      <w:lvlJc w:val="left"/>
      <w:pPr>
        <w:ind w:left="1400" w:hanging="720"/>
      </w:pPr>
      <w:rPr>
        <w:rFonts w:hint="default"/>
      </w:rPr>
    </w:lvl>
    <w:lvl w:ilvl="3">
      <w:start w:val="1"/>
      <w:numFmt w:val="decimal"/>
      <w:pStyle w:val="12Unterkapitel"/>
      <w:lvlText w:val="%1.%2.%3.%4"/>
      <w:lvlJc w:val="left"/>
      <w:pPr>
        <w:ind w:left="1544" w:hanging="864"/>
      </w:pPr>
      <w:rPr>
        <w:rFonts w:hint="default"/>
      </w:rPr>
    </w:lvl>
    <w:lvl w:ilvl="4">
      <w:start w:val="1"/>
      <w:numFmt w:val="decimal"/>
      <w:pStyle w:val="13Unterkapitel"/>
      <w:lvlText w:val="%1.%2.%3.%4.%5"/>
      <w:lvlJc w:val="left"/>
      <w:pPr>
        <w:ind w:left="1688" w:hanging="1008"/>
      </w:pPr>
      <w:rPr>
        <w:rFonts w:hint="default"/>
      </w:rPr>
    </w:lvl>
    <w:lvl w:ilvl="5">
      <w:start w:val="1"/>
      <w:numFmt w:val="decimal"/>
      <w:pStyle w:val="14Unterkapitel"/>
      <w:lvlText w:val="%1.%2.%3.%4.%5.%6"/>
      <w:lvlJc w:val="left"/>
      <w:pPr>
        <w:ind w:left="1832" w:hanging="1152"/>
      </w:pPr>
      <w:rPr>
        <w:rFonts w:hint="default"/>
      </w:rPr>
    </w:lvl>
    <w:lvl w:ilvl="6">
      <w:start w:val="1"/>
      <w:numFmt w:val="decimal"/>
      <w:pStyle w:val="15Unterkapitel"/>
      <w:lvlText w:val="%1.%2.%3.%4.%5.%6.%7"/>
      <w:lvlJc w:val="left"/>
      <w:pPr>
        <w:ind w:left="1976" w:hanging="1296"/>
      </w:pPr>
      <w:rPr>
        <w:rFonts w:hint="default"/>
      </w:rPr>
    </w:lvl>
    <w:lvl w:ilvl="7">
      <w:start w:val="1"/>
      <w:numFmt w:val="decimal"/>
      <w:lvlText w:val="%1.%2.%3.%4.%5.%6.%7.%8"/>
      <w:lvlJc w:val="left"/>
      <w:pPr>
        <w:ind w:left="2120" w:hanging="1440"/>
      </w:pPr>
      <w:rPr>
        <w:rFonts w:hint="default"/>
      </w:rPr>
    </w:lvl>
    <w:lvl w:ilvl="8">
      <w:start w:val="1"/>
      <w:numFmt w:val="decimal"/>
      <w:lvlText w:val="%1.%2.%3.%4.%5.%6.%7.%8.%9"/>
      <w:lvlJc w:val="left"/>
      <w:pPr>
        <w:ind w:left="2264" w:hanging="1584"/>
      </w:pPr>
      <w:rPr>
        <w:rFonts w:hint="default"/>
      </w:rPr>
    </w:lvl>
  </w:abstractNum>
  <w:abstractNum w:abstractNumId="1" w15:restartNumberingAfterBreak="0">
    <w:nsid w:val="3DFD5DC8"/>
    <w:multiLevelType w:val="hybridMultilevel"/>
    <w:tmpl w:val="60984240"/>
    <w:lvl w:ilvl="0" w:tplc="75FCCC08">
      <w:start w:val="1"/>
      <w:numFmt w:val="decimal"/>
      <w:pStyle w:val="1Aufzhlung"/>
      <w:lvlText w:val="%1."/>
      <w:lvlJc w:val="left"/>
      <w:pPr>
        <w:ind w:left="1080" w:hanging="360"/>
      </w:pPr>
      <w:rPr>
        <w:rFonts w:ascii="Times New Roman" w:hAnsi="Times New Roman" w:hint="default"/>
        <w:b/>
        <w:i w:val="0"/>
        <w:caps w:val="0"/>
        <w:strike w:val="0"/>
        <w:dstrike w:val="0"/>
        <w:vanish w:val="0"/>
        <w:color w:val="1F6BAE"/>
        <w:kern w:val="0"/>
        <w:sz w:val="21"/>
        <w:vertAlign w:val="baseline"/>
        <w14:cntxtAlts w14:val="0"/>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2" w15:restartNumberingAfterBreak="0">
    <w:nsid w:val="4CF229F0"/>
    <w:multiLevelType w:val="multilevel"/>
    <w:tmpl w:val="24F09160"/>
    <w:lvl w:ilvl="0">
      <w:start w:val="1"/>
      <w:numFmt w:val="decimal"/>
      <w:pStyle w:val="Formatvorlage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5BA462DC"/>
    <w:multiLevelType w:val="hybridMultilevel"/>
    <w:tmpl w:val="B230616E"/>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 w15:restartNumberingAfterBreak="0">
    <w:nsid w:val="5D250CA1"/>
    <w:multiLevelType w:val="multilevel"/>
    <w:tmpl w:val="04FA33E0"/>
    <w:lvl w:ilvl="0">
      <w:start w:val="1"/>
      <w:numFmt w:val="bullet"/>
      <w:pStyle w:val="Aufzhlung"/>
      <w:lvlText w:val="–"/>
      <w:lvlJc w:val="left"/>
      <w:pPr>
        <w:ind w:left="851" w:hanging="171"/>
      </w:pPr>
      <w:rPr>
        <w:rFonts w:ascii="Times New Roman" w:hAnsi="Times New Roman" w:cs="Times New Roman" w:hint="default"/>
        <w:b/>
        <w:bCs/>
        <w:i w:val="0"/>
        <w:iCs w:val="0"/>
        <w:color w:val="005FA0"/>
        <w:u w:val="none"/>
      </w:rPr>
    </w:lvl>
    <w:lvl w:ilvl="1">
      <w:start w:val="1"/>
      <w:numFmt w:val="bullet"/>
      <w:lvlText w:val="–"/>
      <w:lvlJc w:val="left"/>
      <w:pPr>
        <w:ind w:left="1021" w:hanging="170"/>
      </w:pPr>
      <w:rPr>
        <w:rFonts w:ascii="Times New Roman" w:hAnsi="Times New Roman" w:cs="Times New Roman" w:hint="default"/>
        <w:color w:val="005FA0"/>
      </w:rPr>
    </w:lvl>
    <w:lvl w:ilvl="2">
      <w:start w:val="1"/>
      <w:numFmt w:val="bullet"/>
      <w:lvlText w:val="–"/>
      <w:lvlJc w:val="left"/>
      <w:pPr>
        <w:ind w:left="1191" w:hanging="170"/>
      </w:pPr>
      <w:rPr>
        <w:rFonts w:ascii="Times New Roman" w:hAnsi="Times New Roman" w:cs="Times New Roman" w:hint="default"/>
        <w:color w:val="005FA0"/>
      </w:rPr>
    </w:lvl>
    <w:lvl w:ilvl="3">
      <w:start w:val="1"/>
      <w:numFmt w:val="bullet"/>
      <w:lvlText w:val="–"/>
      <w:lvlJc w:val="left"/>
      <w:pPr>
        <w:ind w:left="1361" w:hanging="170"/>
      </w:pPr>
      <w:rPr>
        <w:rFonts w:ascii="Times New Roman" w:hAnsi="Times New Roman" w:cs="Times New Roman" w:hint="default"/>
        <w:color w:val="005FA0"/>
      </w:rPr>
    </w:lvl>
    <w:lvl w:ilvl="4">
      <w:start w:val="1"/>
      <w:numFmt w:val="bullet"/>
      <w:lvlText w:val="–"/>
      <w:lvlJc w:val="left"/>
      <w:pPr>
        <w:ind w:left="1531" w:hanging="170"/>
      </w:pPr>
      <w:rPr>
        <w:rFonts w:ascii="Times New Roman" w:hAnsi="Times New Roman" w:cs="Times New Roman" w:hint="default"/>
        <w:color w:val="005FA0"/>
      </w:rPr>
    </w:lvl>
    <w:lvl w:ilvl="5">
      <w:start w:val="1"/>
      <w:numFmt w:val="bullet"/>
      <w:lvlText w:val="–"/>
      <w:lvlJc w:val="left"/>
      <w:pPr>
        <w:ind w:left="1701" w:hanging="170"/>
      </w:pPr>
      <w:rPr>
        <w:rFonts w:ascii="Times New Roman" w:hAnsi="Times New Roman" w:cs="Times New Roman" w:hint="default"/>
        <w:color w:val="005FA0"/>
      </w:rPr>
    </w:lvl>
    <w:lvl w:ilvl="6">
      <w:start w:val="1"/>
      <w:numFmt w:val="bullet"/>
      <w:lvlText w:val="–"/>
      <w:lvlJc w:val="left"/>
      <w:pPr>
        <w:ind w:left="5040" w:hanging="360"/>
      </w:pPr>
      <w:rPr>
        <w:rFonts w:ascii="Times New Roman" w:hAnsi="Times New Roman" w:cs="Times New Roman" w:hint="default"/>
        <w:color w:val="005FA0"/>
      </w:rPr>
    </w:lvl>
    <w:lvl w:ilvl="7">
      <w:start w:val="1"/>
      <w:numFmt w:val="bullet"/>
      <w:lvlText w:val="–"/>
      <w:lvlJc w:val="left"/>
      <w:pPr>
        <w:ind w:left="5760" w:hanging="360"/>
      </w:pPr>
      <w:rPr>
        <w:rFonts w:ascii="Times New Roman" w:hAnsi="Times New Roman" w:cs="Times New Roman" w:hint="default"/>
        <w:color w:val="005FA0"/>
      </w:rPr>
    </w:lvl>
    <w:lvl w:ilvl="8">
      <w:start w:val="1"/>
      <w:numFmt w:val="bullet"/>
      <w:lvlText w:val="–"/>
      <w:lvlJc w:val="left"/>
      <w:pPr>
        <w:ind w:left="6480" w:hanging="360"/>
      </w:pPr>
      <w:rPr>
        <w:rFonts w:ascii="Times New Roman" w:hAnsi="Times New Roman" w:cs="Times New Roman" w:hint="default"/>
        <w:color w:val="005FA0"/>
      </w:rPr>
    </w:lvl>
  </w:abstractNum>
  <w:abstractNum w:abstractNumId="5" w15:restartNumberingAfterBreak="0">
    <w:nsid w:val="620470F5"/>
    <w:multiLevelType w:val="multilevel"/>
    <w:tmpl w:val="73CCEF02"/>
    <w:styleLink w:val="Aufzhlung1"/>
    <w:lvl w:ilvl="0">
      <w:start w:val="1"/>
      <w:numFmt w:val="bullet"/>
      <w:lvlText w:val="–"/>
      <w:lvlJc w:val="left"/>
      <w:pPr>
        <w:ind w:left="851" w:hanging="171"/>
      </w:pPr>
      <w:rPr>
        <w:rFonts w:ascii="Times New Roman" w:hAnsi="Times New Roman" w:cs="Times New Roman" w:hint="default"/>
        <w:b/>
        <w:bCs/>
        <w:i w:val="0"/>
        <w:iCs w:val="0"/>
        <w:color w:val="005FA0"/>
        <w:u w:val="none"/>
      </w:rPr>
    </w:lvl>
    <w:lvl w:ilvl="1">
      <w:start w:val="1"/>
      <w:numFmt w:val="bullet"/>
      <w:lvlText w:val="–"/>
      <w:lvlJc w:val="left"/>
      <w:pPr>
        <w:ind w:left="1440" w:hanging="360"/>
      </w:pPr>
      <w:rPr>
        <w:rFonts w:ascii="Times New Roman" w:hAnsi="Times New Roman" w:cs="Times New Roman" w:hint="default"/>
        <w:color w:val="005FA0"/>
      </w:rPr>
    </w:lvl>
    <w:lvl w:ilvl="2">
      <w:start w:val="1"/>
      <w:numFmt w:val="bullet"/>
      <w:lvlText w:val="–"/>
      <w:lvlJc w:val="left"/>
      <w:pPr>
        <w:ind w:left="2160" w:hanging="360"/>
      </w:pPr>
      <w:rPr>
        <w:rFonts w:ascii="Times New Roman" w:hAnsi="Times New Roman" w:cs="Times New Roman" w:hint="default"/>
        <w:color w:val="005FA0"/>
      </w:rPr>
    </w:lvl>
    <w:lvl w:ilvl="3">
      <w:start w:val="1"/>
      <w:numFmt w:val="bullet"/>
      <w:lvlText w:val="–"/>
      <w:lvlJc w:val="left"/>
      <w:pPr>
        <w:ind w:left="2880" w:hanging="360"/>
      </w:pPr>
      <w:rPr>
        <w:rFonts w:ascii="Times New Roman" w:hAnsi="Times New Roman" w:cs="Times New Roman" w:hint="default"/>
        <w:color w:val="005FA0"/>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6CB82F68"/>
    <w:multiLevelType w:val="hybridMultilevel"/>
    <w:tmpl w:val="C20E1CA0"/>
    <w:lvl w:ilvl="0" w:tplc="04070003">
      <w:start w:val="1"/>
      <w:numFmt w:val="bullet"/>
      <w:lvlText w:val="o"/>
      <w:lvlJc w:val="left"/>
      <w:pPr>
        <w:tabs>
          <w:tab w:val="num" w:pos="720"/>
        </w:tabs>
        <w:ind w:left="720" w:hanging="360"/>
      </w:pPr>
      <w:rPr>
        <w:rFonts w:ascii="Courier New" w:hAnsi="Courier New"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5"/>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1"/>
    </w:lvlOverride>
  </w:num>
  <w:num w:numId="5">
    <w:abstractNumId w:val="4"/>
  </w:num>
  <w:num w:numId="6">
    <w:abstractNumId w:val="1"/>
  </w:num>
  <w:num w:numId="7">
    <w:abstractNumId w:val="0"/>
  </w:num>
  <w:num w:numId="8">
    <w:abstractNumId w:val="6"/>
  </w:num>
  <w:num w:numId="9">
    <w:abstractNumId w:val="3"/>
  </w:num>
  <w:num w:numId="10">
    <w:abstractNumId w:val="2"/>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embedSystemFonts/>
  <w:hideSpellingErrors/>
  <w:activeWritingStyle w:appName="MSWord" w:lang="de-AT" w:vendorID="64" w:dllVersion="131078" w:nlCheck="1" w:checkStyle="0"/>
  <w:activeWritingStyle w:appName="MSWord" w:lang="de-DE" w:vendorID="64" w:dllVersion="131078" w:nlCheck="1" w:checkStyle="0"/>
  <w:activeWritingStyle w:appName="MSWord" w:lang="en-US" w:vendorID="64" w:dllVersion="131078" w:nlCheck="1" w:checkStyle="1"/>
  <w:activeWritingStyle w:appName="MSWord" w:lang="en-GB" w:vendorID="64" w:dllVersion="131078" w:nlCheck="1" w:checkStyle="1"/>
  <w:activeWritingStyle w:appName="MSWord" w:lang="it-IT" w:vendorID="64" w:dllVersion="131078" w:nlCheck="1" w:checkStyle="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clickAndTypeStyle w:val="FlietextEinleitung"/>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53FD"/>
    <w:rsid w:val="0000075B"/>
    <w:rsid w:val="00000AAE"/>
    <w:rsid w:val="000053FD"/>
    <w:rsid w:val="000069D4"/>
    <w:rsid w:val="0001396C"/>
    <w:rsid w:val="000162C5"/>
    <w:rsid w:val="00016D09"/>
    <w:rsid w:val="00022268"/>
    <w:rsid w:val="000240FA"/>
    <w:rsid w:val="00037752"/>
    <w:rsid w:val="00037B0A"/>
    <w:rsid w:val="00040CE3"/>
    <w:rsid w:val="00041FC7"/>
    <w:rsid w:val="000423D6"/>
    <w:rsid w:val="0004569B"/>
    <w:rsid w:val="00050150"/>
    <w:rsid w:val="00055400"/>
    <w:rsid w:val="000567E3"/>
    <w:rsid w:val="00057AF1"/>
    <w:rsid w:val="000602EE"/>
    <w:rsid w:val="0006570B"/>
    <w:rsid w:val="000665E2"/>
    <w:rsid w:val="00066A0F"/>
    <w:rsid w:val="00072536"/>
    <w:rsid w:val="00077A3F"/>
    <w:rsid w:val="00081D4E"/>
    <w:rsid w:val="000840FA"/>
    <w:rsid w:val="000968DC"/>
    <w:rsid w:val="00097D4A"/>
    <w:rsid w:val="000B3E0D"/>
    <w:rsid w:val="000D2A5A"/>
    <w:rsid w:val="000D6B70"/>
    <w:rsid w:val="000D6D95"/>
    <w:rsid w:val="000E4332"/>
    <w:rsid w:val="000E7FDF"/>
    <w:rsid w:val="000F0700"/>
    <w:rsid w:val="000F0AFE"/>
    <w:rsid w:val="000F4501"/>
    <w:rsid w:val="00102E7E"/>
    <w:rsid w:val="00104881"/>
    <w:rsid w:val="00104C90"/>
    <w:rsid w:val="001063AF"/>
    <w:rsid w:val="00106B6D"/>
    <w:rsid w:val="00115CCF"/>
    <w:rsid w:val="001175D3"/>
    <w:rsid w:val="001175FD"/>
    <w:rsid w:val="00124C1D"/>
    <w:rsid w:val="00125D70"/>
    <w:rsid w:val="00130633"/>
    <w:rsid w:val="001317A0"/>
    <w:rsid w:val="001472AF"/>
    <w:rsid w:val="00150177"/>
    <w:rsid w:val="00154847"/>
    <w:rsid w:val="001552E7"/>
    <w:rsid w:val="00155D2C"/>
    <w:rsid w:val="0016033C"/>
    <w:rsid w:val="001644CE"/>
    <w:rsid w:val="001761E9"/>
    <w:rsid w:val="00176A8E"/>
    <w:rsid w:val="0018057C"/>
    <w:rsid w:val="00181A09"/>
    <w:rsid w:val="00183E6B"/>
    <w:rsid w:val="001848E3"/>
    <w:rsid w:val="00185188"/>
    <w:rsid w:val="00185E8E"/>
    <w:rsid w:val="00186129"/>
    <w:rsid w:val="00190155"/>
    <w:rsid w:val="00192AAA"/>
    <w:rsid w:val="001A0190"/>
    <w:rsid w:val="001A14FB"/>
    <w:rsid w:val="001B6385"/>
    <w:rsid w:val="001B6BC5"/>
    <w:rsid w:val="001C24EE"/>
    <w:rsid w:val="001C4CE6"/>
    <w:rsid w:val="001C5A6B"/>
    <w:rsid w:val="001C5FF6"/>
    <w:rsid w:val="001C6870"/>
    <w:rsid w:val="001C6C34"/>
    <w:rsid w:val="001C7150"/>
    <w:rsid w:val="001D39F5"/>
    <w:rsid w:val="001D3CB3"/>
    <w:rsid w:val="001D5127"/>
    <w:rsid w:val="001D647C"/>
    <w:rsid w:val="001D6EE1"/>
    <w:rsid w:val="001D7A82"/>
    <w:rsid w:val="001F3F8E"/>
    <w:rsid w:val="001F5602"/>
    <w:rsid w:val="00200C2D"/>
    <w:rsid w:val="00200C6F"/>
    <w:rsid w:val="00201E17"/>
    <w:rsid w:val="00201EA4"/>
    <w:rsid w:val="00203E59"/>
    <w:rsid w:val="00207713"/>
    <w:rsid w:val="00211B81"/>
    <w:rsid w:val="002122D1"/>
    <w:rsid w:val="00223568"/>
    <w:rsid w:val="002332BF"/>
    <w:rsid w:val="00235D91"/>
    <w:rsid w:val="0023787B"/>
    <w:rsid w:val="00243A03"/>
    <w:rsid w:val="00252D2A"/>
    <w:rsid w:val="002537DA"/>
    <w:rsid w:val="0025469E"/>
    <w:rsid w:val="00254810"/>
    <w:rsid w:val="00261F7B"/>
    <w:rsid w:val="00263718"/>
    <w:rsid w:val="0027028D"/>
    <w:rsid w:val="00273A76"/>
    <w:rsid w:val="00273BFE"/>
    <w:rsid w:val="002805B4"/>
    <w:rsid w:val="0028751F"/>
    <w:rsid w:val="00287DB7"/>
    <w:rsid w:val="00290657"/>
    <w:rsid w:val="0029238A"/>
    <w:rsid w:val="00296CDF"/>
    <w:rsid w:val="00296E3A"/>
    <w:rsid w:val="002A2DB9"/>
    <w:rsid w:val="002A35C3"/>
    <w:rsid w:val="002A4936"/>
    <w:rsid w:val="002B0E1A"/>
    <w:rsid w:val="002B2618"/>
    <w:rsid w:val="002B3F4E"/>
    <w:rsid w:val="002C7010"/>
    <w:rsid w:val="002D2A45"/>
    <w:rsid w:val="002D57B4"/>
    <w:rsid w:val="002D69DA"/>
    <w:rsid w:val="002E1842"/>
    <w:rsid w:val="002E4DE4"/>
    <w:rsid w:val="002E7321"/>
    <w:rsid w:val="002F1EF6"/>
    <w:rsid w:val="002F3285"/>
    <w:rsid w:val="002F723D"/>
    <w:rsid w:val="003007DD"/>
    <w:rsid w:val="003033FE"/>
    <w:rsid w:val="003107A3"/>
    <w:rsid w:val="00316A31"/>
    <w:rsid w:val="00325982"/>
    <w:rsid w:val="00330AFF"/>
    <w:rsid w:val="00332167"/>
    <w:rsid w:val="003332FD"/>
    <w:rsid w:val="00333921"/>
    <w:rsid w:val="00335D37"/>
    <w:rsid w:val="00335E5D"/>
    <w:rsid w:val="00336CC1"/>
    <w:rsid w:val="003425FD"/>
    <w:rsid w:val="00346F86"/>
    <w:rsid w:val="003501E5"/>
    <w:rsid w:val="00352CE4"/>
    <w:rsid w:val="00353112"/>
    <w:rsid w:val="003542FF"/>
    <w:rsid w:val="003559BB"/>
    <w:rsid w:val="00355AF4"/>
    <w:rsid w:val="00357052"/>
    <w:rsid w:val="00362A0B"/>
    <w:rsid w:val="00365423"/>
    <w:rsid w:val="00373C99"/>
    <w:rsid w:val="0037494B"/>
    <w:rsid w:val="00375ABE"/>
    <w:rsid w:val="0038029A"/>
    <w:rsid w:val="003855D0"/>
    <w:rsid w:val="0038692E"/>
    <w:rsid w:val="00386C0E"/>
    <w:rsid w:val="003936B3"/>
    <w:rsid w:val="00395446"/>
    <w:rsid w:val="0039689A"/>
    <w:rsid w:val="0039776C"/>
    <w:rsid w:val="00397F55"/>
    <w:rsid w:val="003A0954"/>
    <w:rsid w:val="003A1241"/>
    <w:rsid w:val="003A4783"/>
    <w:rsid w:val="003B18F3"/>
    <w:rsid w:val="003B50DF"/>
    <w:rsid w:val="003C0319"/>
    <w:rsid w:val="003C0AD0"/>
    <w:rsid w:val="003C57EB"/>
    <w:rsid w:val="003C6606"/>
    <w:rsid w:val="003E2CA7"/>
    <w:rsid w:val="003E3F14"/>
    <w:rsid w:val="003E7B0D"/>
    <w:rsid w:val="003F29AB"/>
    <w:rsid w:val="003F3933"/>
    <w:rsid w:val="00401C39"/>
    <w:rsid w:val="00402D84"/>
    <w:rsid w:val="00406EBF"/>
    <w:rsid w:val="0041637E"/>
    <w:rsid w:val="00417A85"/>
    <w:rsid w:val="0042516F"/>
    <w:rsid w:val="00436D51"/>
    <w:rsid w:val="00440809"/>
    <w:rsid w:val="0044191F"/>
    <w:rsid w:val="004428DB"/>
    <w:rsid w:val="004434E7"/>
    <w:rsid w:val="00443789"/>
    <w:rsid w:val="004460A0"/>
    <w:rsid w:val="00447BB7"/>
    <w:rsid w:val="004500AA"/>
    <w:rsid w:val="004511BE"/>
    <w:rsid w:val="00452BE5"/>
    <w:rsid w:val="00455DBA"/>
    <w:rsid w:val="00457E63"/>
    <w:rsid w:val="0046029E"/>
    <w:rsid w:val="00462DA8"/>
    <w:rsid w:val="00465E30"/>
    <w:rsid w:val="00470727"/>
    <w:rsid w:val="00474CB2"/>
    <w:rsid w:val="00474E4D"/>
    <w:rsid w:val="00475E6D"/>
    <w:rsid w:val="00476698"/>
    <w:rsid w:val="0048165C"/>
    <w:rsid w:val="00490DAE"/>
    <w:rsid w:val="00494D6B"/>
    <w:rsid w:val="004A4A8B"/>
    <w:rsid w:val="004A6876"/>
    <w:rsid w:val="004A6983"/>
    <w:rsid w:val="004B5B39"/>
    <w:rsid w:val="004C004D"/>
    <w:rsid w:val="004C01AB"/>
    <w:rsid w:val="004C4965"/>
    <w:rsid w:val="004C50FF"/>
    <w:rsid w:val="004C5935"/>
    <w:rsid w:val="004C6653"/>
    <w:rsid w:val="004D01D7"/>
    <w:rsid w:val="004D3783"/>
    <w:rsid w:val="004D7C8F"/>
    <w:rsid w:val="004E03BD"/>
    <w:rsid w:val="004E2122"/>
    <w:rsid w:val="004E4BE9"/>
    <w:rsid w:val="004E619E"/>
    <w:rsid w:val="004E6D9D"/>
    <w:rsid w:val="004E78A5"/>
    <w:rsid w:val="004F25BB"/>
    <w:rsid w:val="004F318D"/>
    <w:rsid w:val="004F64F2"/>
    <w:rsid w:val="004F6DE7"/>
    <w:rsid w:val="004F7BA3"/>
    <w:rsid w:val="0050183E"/>
    <w:rsid w:val="00506492"/>
    <w:rsid w:val="00507A7D"/>
    <w:rsid w:val="0051290D"/>
    <w:rsid w:val="0051726C"/>
    <w:rsid w:val="0052071A"/>
    <w:rsid w:val="00520D64"/>
    <w:rsid w:val="00521114"/>
    <w:rsid w:val="0052253B"/>
    <w:rsid w:val="0052532E"/>
    <w:rsid w:val="00525D30"/>
    <w:rsid w:val="005354FC"/>
    <w:rsid w:val="00541975"/>
    <w:rsid w:val="00546B80"/>
    <w:rsid w:val="00550A6A"/>
    <w:rsid w:val="0055371D"/>
    <w:rsid w:val="005544DE"/>
    <w:rsid w:val="00556C05"/>
    <w:rsid w:val="00556D3B"/>
    <w:rsid w:val="00560C49"/>
    <w:rsid w:val="0056119A"/>
    <w:rsid w:val="00561F52"/>
    <w:rsid w:val="00565990"/>
    <w:rsid w:val="00566E21"/>
    <w:rsid w:val="005746AF"/>
    <w:rsid w:val="005832C5"/>
    <w:rsid w:val="005850CC"/>
    <w:rsid w:val="005859BB"/>
    <w:rsid w:val="00585DC0"/>
    <w:rsid w:val="00592F08"/>
    <w:rsid w:val="00593F80"/>
    <w:rsid w:val="00596F51"/>
    <w:rsid w:val="005A2AD0"/>
    <w:rsid w:val="005A7423"/>
    <w:rsid w:val="005B4A0A"/>
    <w:rsid w:val="005B56A6"/>
    <w:rsid w:val="005C1CA0"/>
    <w:rsid w:val="005C5F2F"/>
    <w:rsid w:val="005C6443"/>
    <w:rsid w:val="005D6554"/>
    <w:rsid w:val="005E14D4"/>
    <w:rsid w:val="005E5427"/>
    <w:rsid w:val="005F05F8"/>
    <w:rsid w:val="005F0862"/>
    <w:rsid w:val="005F1863"/>
    <w:rsid w:val="005F1D20"/>
    <w:rsid w:val="00601FBA"/>
    <w:rsid w:val="0060225F"/>
    <w:rsid w:val="006054EB"/>
    <w:rsid w:val="006143DE"/>
    <w:rsid w:val="00614573"/>
    <w:rsid w:val="006225BA"/>
    <w:rsid w:val="00631835"/>
    <w:rsid w:val="00632F25"/>
    <w:rsid w:val="006348F8"/>
    <w:rsid w:val="0063524C"/>
    <w:rsid w:val="006407DD"/>
    <w:rsid w:val="00650BEA"/>
    <w:rsid w:val="0065237B"/>
    <w:rsid w:val="00653CAB"/>
    <w:rsid w:val="006549C8"/>
    <w:rsid w:val="006571DA"/>
    <w:rsid w:val="00660A39"/>
    <w:rsid w:val="00661994"/>
    <w:rsid w:val="006638A3"/>
    <w:rsid w:val="00666D01"/>
    <w:rsid w:val="006711DC"/>
    <w:rsid w:val="006719C1"/>
    <w:rsid w:val="006742EE"/>
    <w:rsid w:val="0067475E"/>
    <w:rsid w:val="006756AF"/>
    <w:rsid w:val="00676086"/>
    <w:rsid w:val="00680B58"/>
    <w:rsid w:val="006829EF"/>
    <w:rsid w:val="00682DB6"/>
    <w:rsid w:val="00684A32"/>
    <w:rsid w:val="006852ED"/>
    <w:rsid w:val="00685D8A"/>
    <w:rsid w:val="006860F8"/>
    <w:rsid w:val="006911D0"/>
    <w:rsid w:val="006929C7"/>
    <w:rsid w:val="006A348B"/>
    <w:rsid w:val="006A35E4"/>
    <w:rsid w:val="006A544E"/>
    <w:rsid w:val="006A7A70"/>
    <w:rsid w:val="006B3A3E"/>
    <w:rsid w:val="006B5BDA"/>
    <w:rsid w:val="006C2841"/>
    <w:rsid w:val="006C2F45"/>
    <w:rsid w:val="006C3716"/>
    <w:rsid w:val="006C4222"/>
    <w:rsid w:val="006C4B8B"/>
    <w:rsid w:val="006D03EC"/>
    <w:rsid w:val="006E3C45"/>
    <w:rsid w:val="006E4A77"/>
    <w:rsid w:val="006E5C98"/>
    <w:rsid w:val="006E60B0"/>
    <w:rsid w:val="006F137B"/>
    <w:rsid w:val="006F480B"/>
    <w:rsid w:val="006F6DBF"/>
    <w:rsid w:val="00701916"/>
    <w:rsid w:val="007019B6"/>
    <w:rsid w:val="007047DD"/>
    <w:rsid w:val="00704D4E"/>
    <w:rsid w:val="00706CD2"/>
    <w:rsid w:val="00706F58"/>
    <w:rsid w:val="00714F1D"/>
    <w:rsid w:val="00722E1B"/>
    <w:rsid w:val="00723B9B"/>
    <w:rsid w:val="007245F8"/>
    <w:rsid w:val="00724E61"/>
    <w:rsid w:val="0072606E"/>
    <w:rsid w:val="007270EA"/>
    <w:rsid w:val="007324E1"/>
    <w:rsid w:val="0073263E"/>
    <w:rsid w:val="0073475A"/>
    <w:rsid w:val="00743085"/>
    <w:rsid w:val="00746D1F"/>
    <w:rsid w:val="007579F7"/>
    <w:rsid w:val="00765B2D"/>
    <w:rsid w:val="0077113E"/>
    <w:rsid w:val="00772A83"/>
    <w:rsid w:val="00774A5B"/>
    <w:rsid w:val="00775091"/>
    <w:rsid w:val="007759C2"/>
    <w:rsid w:val="0077607E"/>
    <w:rsid w:val="0078227A"/>
    <w:rsid w:val="0078387A"/>
    <w:rsid w:val="00790FBB"/>
    <w:rsid w:val="00794D61"/>
    <w:rsid w:val="007973C2"/>
    <w:rsid w:val="007A30CF"/>
    <w:rsid w:val="007A3D13"/>
    <w:rsid w:val="007A4D92"/>
    <w:rsid w:val="007A6DE4"/>
    <w:rsid w:val="007B0676"/>
    <w:rsid w:val="007B1B8E"/>
    <w:rsid w:val="007B2735"/>
    <w:rsid w:val="007C36C2"/>
    <w:rsid w:val="007C5920"/>
    <w:rsid w:val="007C6645"/>
    <w:rsid w:val="007D1FA8"/>
    <w:rsid w:val="007D50DA"/>
    <w:rsid w:val="007D7289"/>
    <w:rsid w:val="007D7E9D"/>
    <w:rsid w:val="007E0B95"/>
    <w:rsid w:val="007E21F9"/>
    <w:rsid w:val="007E3565"/>
    <w:rsid w:val="007E3DE5"/>
    <w:rsid w:val="007E4909"/>
    <w:rsid w:val="007E655A"/>
    <w:rsid w:val="007F0207"/>
    <w:rsid w:val="007F5C42"/>
    <w:rsid w:val="00813261"/>
    <w:rsid w:val="00820B8E"/>
    <w:rsid w:val="00824F9A"/>
    <w:rsid w:val="00825BE3"/>
    <w:rsid w:val="00832D29"/>
    <w:rsid w:val="00837EE0"/>
    <w:rsid w:val="00841977"/>
    <w:rsid w:val="008429DA"/>
    <w:rsid w:val="00843F69"/>
    <w:rsid w:val="00845587"/>
    <w:rsid w:val="00855A6B"/>
    <w:rsid w:val="008564C6"/>
    <w:rsid w:val="008611B3"/>
    <w:rsid w:val="00864B9A"/>
    <w:rsid w:val="00864C1A"/>
    <w:rsid w:val="00867A1C"/>
    <w:rsid w:val="0087033C"/>
    <w:rsid w:val="00871C81"/>
    <w:rsid w:val="00871DEE"/>
    <w:rsid w:val="008722B6"/>
    <w:rsid w:val="008778FE"/>
    <w:rsid w:val="0088419C"/>
    <w:rsid w:val="0088499B"/>
    <w:rsid w:val="00885A23"/>
    <w:rsid w:val="0088704B"/>
    <w:rsid w:val="0089049E"/>
    <w:rsid w:val="008951AF"/>
    <w:rsid w:val="00895E75"/>
    <w:rsid w:val="008B1B08"/>
    <w:rsid w:val="008B5DEA"/>
    <w:rsid w:val="008B616B"/>
    <w:rsid w:val="008B6D1A"/>
    <w:rsid w:val="008C160A"/>
    <w:rsid w:val="008C1A5B"/>
    <w:rsid w:val="008C2C1E"/>
    <w:rsid w:val="008C3B6F"/>
    <w:rsid w:val="008C514C"/>
    <w:rsid w:val="008C7CB7"/>
    <w:rsid w:val="008D3649"/>
    <w:rsid w:val="008D5545"/>
    <w:rsid w:val="008D71D1"/>
    <w:rsid w:val="008E01DE"/>
    <w:rsid w:val="008E0D22"/>
    <w:rsid w:val="008E1CCF"/>
    <w:rsid w:val="008E2FC0"/>
    <w:rsid w:val="008E3CAD"/>
    <w:rsid w:val="008E596D"/>
    <w:rsid w:val="008E68A0"/>
    <w:rsid w:val="00902702"/>
    <w:rsid w:val="009061CE"/>
    <w:rsid w:val="009064AD"/>
    <w:rsid w:val="009126D2"/>
    <w:rsid w:val="00912980"/>
    <w:rsid w:val="00913D1F"/>
    <w:rsid w:val="00915E8F"/>
    <w:rsid w:val="00921944"/>
    <w:rsid w:val="00926CBB"/>
    <w:rsid w:val="009401E2"/>
    <w:rsid w:val="009426F2"/>
    <w:rsid w:val="0094451C"/>
    <w:rsid w:val="00945DC6"/>
    <w:rsid w:val="0094665D"/>
    <w:rsid w:val="00946AD9"/>
    <w:rsid w:val="00947CA4"/>
    <w:rsid w:val="00951B4C"/>
    <w:rsid w:val="00962022"/>
    <w:rsid w:val="00964AA3"/>
    <w:rsid w:val="0097020A"/>
    <w:rsid w:val="00972656"/>
    <w:rsid w:val="0097271B"/>
    <w:rsid w:val="00972C36"/>
    <w:rsid w:val="00973BAB"/>
    <w:rsid w:val="00980ACC"/>
    <w:rsid w:val="00981F1C"/>
    <w:rsid w:val="0098503C"/>
    <w:rsid w:val="009A2984"/>
    <w:rsid w:val="009A6B11"/>
    <w:rsid w:val="009B6BDD"/>
    <w:rsid w:val="009B7D5C"/>
    <w:rsid w:val="009C0D70"/>
    <w:rsid w:val="009C3693"/>
    <w:rsid w:val="009C44F8"/>
    <w:rsid w:val="009D0BBF"/>
    <w:rsid w:val="009D11E9"/>
    <w:rsid w:val="009D356C"/>
    <w:rsid w:val="009D5C84"/>
    <w:rsid w:val="009D7592"/>
    <w:rsid w:val="009E0391"/>
    <w:rsid w:val="009E2CEA"/>
    <w:rsid w:val="009E46F4"/>
    <w:rsid w:val="009E50DC"/>
    <w:rsid w:val="009E7F3B"/>
    <w:rsid w:val="009F47D9"/>
    <w:rsid w:val="009F70AF"/>
    <w:rsid w:val="00A010FE"/>
    <w:rsid w:val="00A0506E"/>
    <w:rsid w:val="00A119FF"/>
    <w:rsid w:val="00A248D4"/>
    <w:rsid w:val="00A30ADC"/>
    <w:rsid w:val="00A35242"/>
    <w:rsid w:val="00A36A2B"/>
    <w:rsid w:val="00A4069F"/>
    <w:rsid w:val="00A43782"/>
    <w:rsid w:val="00A45771"/>
    <w:rsid w:val="00A469D9"/>
    <w:rsid w:val="00A471BC"/>
    <w:rsid w:val="00A47818"/>
    <w:rsid w:val="00A51C99"/>
    <w:rsid w:val="00A5382D"/>
    <w:rsid w:val="00A65796"/>
    <w:rsid w:val="00A65A69"/>
    <w:rsid w:val="00A71E0E"/>
    <w:rsid w:val="00A722EB"/>
    <w:rsid w:val="00A7450F"/>
    <w:rsid w:val="00A76B57"/>
    <w:rsid w:val="00A80122"/>
    <w:rsid w:val="00A82DAF"/>
    <w:rsid w:val="00A85C8F"/>
    <w:rsid w:val="00A8773C"/>
    <w:rsid w:val="00A94855"/>
    <w:rsid w:val="00A965D4"/>
    <w:rsid w:val="00AA03BA"/>
    <w:rsid w:val="00AA4937"/>
    <w:rsid w:val="00AB154F"/>
    <w:rsid w:val="00AB63BC"/>
    <w:rsid w:val="00AD5941"/>
    <w:rsid w:val="00AD665F"/>
    <w:rsid w:val="00AD6DC2"/>
    <w:rsid w:val="00AD7970"/>
    <w:rsid w:val="00AE2E63"/>
    <w:rsid w:val="00AE43B2"/>
    <w:rsid w:val="00AE5784"/>
    <w:rsid w:val="00AE59BB"/>
    <w:rsid w:val="00AE6417"/>
    <w:rsid w:val="00AE7B53"/>
    <w:rsid w:val="00AF70A1"/>
    <w:rsid w:val="00B00BEC"/>
    <w:rsid w:val="00B01DFA"/>
    <w:rsid w:val="00B01F03"/>
    <w:rsid w:val="00B0294B"/>
    <w:rsid w:val="00B0436D"/>
    <w:rsid w:val="00B0478C"/>
    <w:rsid w:val="00B05A6B"/>
    <w:rsid w:val="00B07C29"/>
    <w:rsid w:val="00B11803"/>
    <w:rsid w:val="00B12D9B"/>
    <w:rsid w:val="00B133DC"/>
    <w:rsid w:val="00B13AEC"/>
    <w:rsid w:val="00B147AA"/>
    <w:rsid w:val="00B15870"/>
    <w:rsid w:val="00B30566"/>
    <w:rsid w:val="00B31608"/>
    <w:rsid w:val="00B355BB"/>
    <w:rsid w:val="00B376C1"/>
    <w:rsid w:val="00B410C5"/>
    <w:rsid w:val="00B429C5"/>
    <w:rsid w:val="00B4553E"/>
    <w:rsid w:val="00B466A5"/>
    <w:rsid w:val="00B46990"/>
    <w:rsid w:val="00B51162"/>
    <w:rsid w:val="00B51195"/>
    <w:rsid w:val="00B52BEF"/>
    <w:rsid w:val="00B536F6"/>
    <w:rsid w:val="00B564A4"/>
    <w:rsid w:val="00B61062"/>
    <w:rsid w:val="00B62C1C"/>
    <w:rsid w:val="00B62DFA"/>
    <w:rsid w:val="00B70C83"/>
    <w:rsid w:val="00B7192B"/>
    <w:rsid w:val="00B74E7B"/>
    <w:rsid w:val="00B7511D"/>
    <w:rsid w:val="00B75D21"/>
    <w:rsid w:val="00B826D1"/>
    <w:rsid w:val="00B877FC"/>
    <w:rsid w:val="00B87842"/>
    <w:rsid w:val="00B95008"/>
    <w:rsid w:val="00BA03AE"/>
    <w:rsid w:val="00BA0E61"/>
    <w:rsid w:val="00BB0136"/>
    <w:rsid w:val="00BB2D6D"/>
    <w:rsid w:val="00BB5B3B"/>
    <w:rsid w:val="00BC1B08"/>
    <w:rsid w:val="00BC2004"/>
    <w:rsid w:val="00BC38FF"/>
    <w:rsid w:val="00BC6017"/>
    <w:rsid w:val="00BD232D"/>
    <w:rsid w:val="00BD447E"/>
    <w:rsid w:val="00BE0FF1"/>
    <w:rsid w:val="00BE2936"/>
    <w:rsid w:val="00BE36E2"/>
    <w:rsid w:val="00BE44B2"/>
    <w:rsid w:val="00BE673B"/>
    <w:rsid w:val="00BF2EDB"/>
    <w:rsid w:val="00BF4E91"/>
    <w:rsid w:val="00C00B22"/>
    <w:rsid w:val="00C04FDD"/>
    <w:rsid w:val="00C072A5"/>
    <w:rsid w:val="00C10062"/>
    <w:rsid w:val="00C11C7A"/>
    <w:rsid w:val="00C12C5F"/>
    <w:rsid w:val="00C2088E"/>
    <w:rsid w:val="00C21CEA"/>
    <w:rsid w:val="00C223A1"/>
    <w:rsid w:val="00C256DA"/>
    <w:rsid w:val="00C36176"/>
    <w:rsid w:val="00C3710D"/>
    <w:rsid w:val="00C37B6E"/>
    <w:rsid w:val="00C41750"/>
    <w:rsid w:val="00C45A03"/>
    <w:rsid w:val="00C53181"/>
    <w:rsid w:val="00C605E9"/>
    <w:rsid w:val="00C6281D"/>
    <w:rsid w:val="00C76A95"/>
    <w:rsid w:val="00C77E26"/>
    <w:rsid w:val="00C77E35"/>
    <w:rsid w:val="00C80573"/>
    <w:rsid w:val="00C80B76"/>
    <w:rsid w:val="00C949C4"/>
    <w:rsid w:val="00C94BE0"/>
    <w:rsid w:val="00CA1F4F"/>
    <w:rsid w:val="00CA2B29"/>
    <w:rsid w:val="00CA7FF4"/>
    <w:rsid w:val="00CB03F0"/>
    <w:rsid w:val="00CB7D67"/>
    <w:rsid w:val="00CC032D"/>
    <w:rsid w:val="00CC3E11"/>
    <w:rsid w:val="00CC6411"/>
    <w:rsid w:val="00CC74F8"/>
    <w:rsid w:val="00CD075A"/>
    <w:rsid w:val="00CD137E"/>
    <w:rsid w:val="00CD2836"/>
    <w:rsid w:val="00CE7260"/>
    <w:rsid w:val="00CF0C18"/>
    <w:rsid w:val="00CF4974"/>
    <w:rsid w:val="00CF4AD8"/>
    <w:rsid w:val="00D01430"/>
    <w:rsid w:val="00D01876"/>
    <w:rsid w:val="00D116A7"/>
    <w:rsid w:val="00D12229"/>
    <w:rsid w:val="00D157C4"/>
    <w:rsid w:val="00D2126F"/>
    <w:rsid w:val="00D214CA"/>
    <w:rsid w:val="00D23AC6"/>
    <w:rsid w:val="00D3743D"/>
    <w:rsid w:val="00D4030B"/>
    <w:rsid w:val="00D40D09"/>
    <w:rsid w:val="00D4403C"/>
    <w:rsid w:val="00D45891"/>
    <w:rsid w:val="00D46C85"/>
    <w:rsid w:val="00D538BF"/>
    <w:rsid w:val="00D5521D"/>
    <w:rsid w:val="00D556BD"/>
    <w:rsid w:val="00D5628E"/>
    <w:rsid w:val="00D57ECE"/>
    <w:rsid w:val="00D6025A"/>
    <w:rsid w:val="00D60783"/>
    <w:rsid w:val="00D629AE"/>
    <w:rsid w:val="00D64D78"/>
    <w:rsid w:val="00D658B8"/>
    <w:rsid w:val="00D7203E"/>
    <w:rsid w:val="00D751A4"/>
    <w:rsid w:val="00D761B0"/>
    <w:rsid w:val="00D763E8"/>
    <w:rsid w:val="00D82746"/>
    <w:rsid w:val="00D83848"/>
    <w:rsid w:val="00D933FF"/>
    <w:rsid w:val="00D9500D"/>
    <w:rsid w:val="00D9792D"/>
    <w:rsid w:val="00DA007D"/>
    <w:rsid w:val="00DA58E4"/>
    <w:rsid w:val="00DA5ABD"/>
    <w:rsid w:val="00DA60B0"/>
    <w:rsid w:val="00DB1640"/>
    <w:rsid w:val="00DB3F8B"/>
    <w:rsid w:val="00DB68C9"/>
    <w:rsid w:val="00DB7C8F"/>
    <w:rsid w:val="00DC0A8E"/>
    <w:rsid w:val="00DC50D1"/>
    <w:rsid w:val="00DD24BC"/>
    <w:rsid w:val="00DD2831"/>
    <w:rsid w:val="00DD2C2C"/>
    <w:rsid w:val="00DD35CF"/>
    <w:rsid w:val="00DD3CA6"/>
    <w:rsid w:val="00DD4015"/>
    <w:rsid w:val="00DD6A9D"/>
    <w:rsid w:val="00DE1402"/>
    <w:rsid w:val="00DE45D3"/>
    <w:rsid w:val="00DE49A9"/>
    <w:rsid w:val="00DE6294"/>
    <w:rsid w:val="00DE715B"/>
    <w:rsid w:val="00DF038A"/>
    <w:rsid w:val="00DF229E"/>
    <w:rsid w:val="00DF2CBB"/>
    <w:rsid w:val="00DF58FA"/>
    <w:rsid w:val="00E03E0B"/>
    <w:rsid w:val="00E0430E"/>
    <w:rsid w:val="00E0439C"/>
    <w:rsid w:val="00E07A69"/>
    <w:rsid w:val="00E22561"/>
    <w:rsid w:val="00E23665"/>
    <w:rsid w:val="00E24918"/>
    <w:rsid w:val="00E24A5F"/>
    <w:rsid w:val="00E24BF6"/>
    <w:rsid w:val="00E272CB"/>
    <w:rsid w:val="00E3229A"/>
    <w:rsid w:val="00E40D25"/>
    <w:rsid w:val="00E417EC"/>
    <w:rsid w:val="00E4535E"/>
    <w:rsid w:val="00E460C1"/>
    <w:rsid w:val="00E47404"/>
    <w:rsid w:val="00E51000"/>
    <w:rsid w:val="00E514A2"/>
    <w:rsid w:val="00E523D2"/>
    <w:rsid w:val="00E533E5"/>
    <w:rsid w:val="00E534F6"/>
    <w:rsid w:val="00E55040"/>
    <w:rsid w:val="00E6034C"/>
    <w:rsid w:val="00E711EE"/>
    <w:rsid w:val="00E752C3"/>
    <w:rsid w:val="00E758D6"/>
    <w:rsid w:val="00E82457"/>
    <w:rsid w:val="00E8398E"/>
    <w:rsid w:val="00E85CB6"/>
    <w:rsid w:val="00E86C8E"/>
    <w:rsid w:val="00E92280"/>
    <w:rsid w:val="00E93295"/>
    <w:rsid w:val="00E933BF"/>
    <w:rsid w:val="00E9627E"/>
    <w:rsid w:val="00EA508B"/>
    <w:rsid w:val="00EA5C86"/>
    <w:rsid w:val="00EB4C4E"/>
    <w:rsid w:val="00EB7819"/>
    <w:rsid w:val="00EC64CD"/>
    <w:rsid w:val="00ED2AB0"/>
    <w:rsid w:val="00ED324C"/>
    <w:rsid w:val="00ED396A"/>
    <w:rsid w:val="00ED7BCB"/>
    <w:rsid w:val="00EE09CD"/>
    <w:rsid w:val="00EE1933"/>
    <w:rsid w:val="00EE2EE7"/>
    <w:rsid w:val="00EF03E1"/>
    <w:rsid w:val="00EF1451"/>
    <w:rsid w:val="00F000C6"/>
    <w:rsid w:val="00F059F0"/>
    <w:rsid w:val="00F22CBC"/>
    <w:rsid w:val="00F26B37"/>
    <w:rsid w:val="00F27ED6"/>
    <w:rsid w:val="00F36437"/>
    <w:rsid w:val="00F3718B"/>
    <w:rsid w:val="00F41AA4"/>
    <w:rsid w:val="00F42DE4"/>
    <w:rsid w:val="00F44394"/>
    <w:rsid w:val="00F45469"/>
    <w:rsid w:val="00F4722E"/>
    <w:rsid w:val="00F6157E"/>
    <w:rsid w:val="00F62779"/>
    <w:rsid w:val="00F645F8"/>
    <w:rsid w:val="00F75C9D"/>
    <w:rsid w:val="00F76B16"/>
    <w:rsid w:val="00F81D3A"/>
    <w:rsid w:val="00F8247F"/>
    <w:rsid w:val="00F8448B"/>
    <w:rsid w:val="00F857B4"/>
    <w:rsid w:val="00F85EEF"/>
    <w:rsid w:val="00F86AC5"/>
    <w:rsid w:val="00F87812"/>
    <w:rsid w:val="00F87D65"/>
    <w:rsid w:val="00F905E7"/>
    <w:rsid w:val="00F947B3"/>
    <w:rsid w:val="00F9505D"/>
    <w:rsid w:val="00F951A5"/>
    <w:rsid w:val="00F95C0D"/>
    <w:rsid w:val="00F970E9"/>
    <w:rsid w:val="00FA008C"/>
    <w:rsid w:val="00FA5199"/>
    <w:rsid w:val="00FA5E0D"/>
    <w:rsid w:val="00FB14DA"/>
    <w:rsid w:val="00FB2C0E"/>
    <w:rsid w:val="00FB430E"/>
    <w:rsid w:val="00FB6A82"/>
    <w:rsid w:val="00FB75DF"/>
    <w:rsid w:val="00FC4E50"/>
    <w:rsid w:val="00FC5A91"/>
    <w:rsid w:val="00FD23B3"/>
    <w:rsid w:val="00FE142F"/>
    <w:rsid w:val="00FE2B6B"/>
    <w:rsid w:val="00FE4936"/>
    <w:rsid w:val="00FE6ED9"/>
    <w:rsid w:val="00FF2185"/>
    <w:rsid w:val="00FF2494"/>
    <w:rsid w:val="00FF641E"/>
  </w:rsids>
  <m:mathPr>
    <m:mathFont m:val="Cambria Math"/>
    <m:brkBin m:val="before"/>
    <m:brkBinSub m:val="--"/>
    <m:smallFrac m:val="0"/>
    <m:dispDef/>
    <m:lMargin m:val="0"/>
    <m:rMargin m:val="0"/>
    <m:defJc m:val="centerGroup"/>
    <m:wrapIndent m:val="1440"/>
    <m:intLim m:val="subSup"/>
    <m:naryLim m:val="undOvr"/>
  </m:mathPr>
  <w:themeFontLang w:val="de-A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oNotEmbedSmartTags/>
  <w:decimalSymbol w:val=","/>
  <w:listSeparator w:val=";"/>
  <w15:docId w15:val="{F21284BA-433E-4BB5-86E8-792DE56985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w:eastAsiaTheme="minorEastAsia" w:hAnsi="Times" w:cs="Times New Roman"/>
        <w:lang w:val="de-AT" w:eastAsia="ja-JP" w:bidi="ar-SA"/>
      </w:rPr>
    </w:rPrDefault>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6" w:unhideWhenUsed="1"/>
    <w:lsdException w:name="footer" w:semiHidden="1" w:uiPriority="6"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uiPriority w:val="69"/>
    <w:rsid w:val="00C00B22"/>
    <w:rPr>
      <w:rFonts w:ascii="Times New Roman" w:hAnsi="Times New Roman"/>
      <w:sz w:val="21"/>
      <w:szCs w:val="21"/>
    </w:rPr>
  </w:style>
  <w:style w:type="paragraph" w:styleId="berschrift1">
    <w:name w:val="heading 1"/>
    <w:next w:val="FlietextEinleitung"/>
    <w:link w:val="berschrift1Zchn"/>
    <w:autoRedefine/>
    <w:uiPriority w:val="9"/>
    <w:rsid w:val="00F81D3A"/>
    <w:pPr>
      <w:outlineLvl w:val="0"/>
    </w:pPr>
    <w:rPr>
      <w:rFonts w:ascii="Times New Roman" w:eastAsia="Times New Roman" w:hAnsi="Times New Roman" w:cstheme="majorBidi"/>
      <w:caps/>
      <w:color w:val="1F6BAE"/>
      <w:sz w:val="48"/>
      <w:szCs w:val="48"/>
    </w:rPr>
  </w:style>
  <w:style w:type="paragraph" w:styleId="berschrift2">
    <w:name w:val="heading 2"/>
    <w:next w:val="FlietextEinleitung"/>
    <w:link w:val="berschrift2Zchn"/>
    <w:autoRedefine/>
    <w:uiPriority w:val="9"/>
    <w:unhideWhenUsed/>
    <w:rsid w:val="0065237B"/>
    <w:pPr>
      <w:keepNext/>
      <w:keepLines/>
      <w:spacing w:line="192" w:lineRule="auto"/>
      <w:ind w:left="680"/>
      <w:outlineLvl w:val="1"/>
    </w:pPr>
    <w:rPr>
      <w:rFonts w:ascii="Times New Roman" w:eastAsia="Times New Roman" w:hAnsi="Times New Roman" w:cstheme="majorBidi"/>
      <w:caps/>
      <w:color w:val="1F6BAE"/>
      <w:sz w:val="76"/>
      <w:szCs w:val="36"/>
    </w:rPr>
  </w:style>
  <w:style w:type="paragraph" w:styleId="berschrift3">
    <w:name w:val="heading 3"/>
    <w:next w:val="FlietextEinleitung"/>
    <w:link w:val="berschrift3Zchn"/>
    <w:uiPriority w:val="9"/>
    <w:unhideWhenUsed/>
    <w:rsid w:val="00FA5199"/>
    <w:pPr>
      <w:outlineLvl w:val="2"/>
    </w:pPr>
    <w:rPr>
      <w:rFonts w:ascii="Times New Roman" w:hAnsi="Times New Roman"/>
      <w:b/>
      <w:bCs/>
      <w:caps/>
      <w:color w:val="141313"/>
      <w:sz w:val="21"/>
      <w:szCs w:val="21"/>
    </w:rPr>
  </w:style>
  <w:style w:type="paragraph" w:styleId="berschrift4">
    <w:name w:val="heading 4"/>
    <w:basedOn w:val="berschrift3"/>
    <w:next w:val="FlietextEinleitung"/>
    <w:link w:val="berschrift4Zchn"/>
    <w:uiPriority w:val="9"/>
    <w:unhideWhenUsed/>
    <w:rsid w:val="00F8448B"/>
    <w:pPr>
      <w:outlineLvl w:val="3"/>
    </w:pPr>
    <w:rPr>
      <w:b w:val="0"/>
      <w:bCs w:val="0"/>
    </w:rPr>
  </w:style>
  <w:style w:type="paragraph" w:styleId="berschrift5">
    <w:name w:val="heading 5"/>
    <w:basedOn w:val="berschrift4"/>
    <w:next w:val="FlietextEinleitung"/>
    <w:link w:val="berschrift5Zchn"/>
    <w:uiPriority w:val="9"/>
    <w:unhideWhenUsed/>
    <w:rsid w:val="00F8448B"/>
    <w:pPr>
      <w:outlineLvl w:val="4"/>
    </w:pPr>
  </w:style>
  <w:style w:type="paragraph" w:styleId="berschrift6">
    <w:name w:val="heading 6"/>
    <w:basedOn w:val="berschrift4"/>
    <w:next w:val="FlietextEinleitung"/>
    <w:link w:val="berschrift6Zchn"/>
    <w:uiPriority w:val="9"/>
    <w:unhideWhenUsed/>
    <w:rsid w:val="00F8448B"/>
    <w:pPr>
      <w:outlineLvl w:val="5"/>
    </w:pPr>
  </w:style>
  <w:style w:type="paragraph" w:styleId="berschrift7">
    <w:name w:val="heading 7"/>
    <w:basedOn w:val="berschrift4"/>
    <w:next w:val="FlietextEinleitung"/>
    <w:link w:val="berschrift7Zchn"/>
    <w:uiPriority w:val="9"/>
    <w:unhideWhenUsed/>
    <w:rsid w:val="00F8448B"/>
    <w:pPr>
      <w:outlineLvl w:val="6"/>
    </w:pPr>
  </w:style>
  <w:style w:type="paragraph" w:styleId="berschrift8">
    <w:name w:val="heading 8"/>
    <w:basedOn w:val="berschrift7"/>
    <w:next w:val="Standard"/>
    <w:link w:val="berschrift8Zchn"/>
    <w:uiPriority w:val="9"/>
    <w:unhideWhenUsed/>
    <w:rsid w:val="007D50DA"/>
    <w:pPr>
      <w:outlineLvl w:val="7"/>
    </w:pPr>
  </w:style>
  <w:style w:type="paragraph" w:styleId="berschrift9">
    <w:name w:val="heading 9"/>
    <w:aliases w:val="Alt-Überschrift 9"/>
    <w:basedOn w:val="Standard"/>
    <w:next w:val="Standard"/>
    <w:link w:val="berschrift9Zchn"/>
    <w:qFormat/>
    <w:rsid w:val="00723B9B"/>
    <w:pPr>
      <w:keepNext/>
      <w:spacing w:line="360" w:lineRule="auto"/>
      <w:jc w:val="both"/>
      <w:outlineLvl w:val="8"/>
    </w:pPr>
    <w:rPr>
      <w:rFonts w:eastAsia="Times New Roman"/>
      <w:b/>
      <w:i/>
      <w:sz w:val="24"/>
      <w:szCs w:val="22"/>
      <w:lang w:val="en-GB" w:eastAsia="de-AT"/>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F81D3A"/>
    <w:rPr>
      <w:rFonts w:ascii="Times New Roman" w:eastAsia="Times New Roman" w:hAnsi="Times New Roman" w:cstheme="majorBidi"/>
      <w:caps/>
      <w:color w:val="1F6BAE"/>
      <w:sz w:val="48"/>
      <w:szCs w:val="48"/>
    </w:rPr>
  </w:style>
  <w:style w:type="paragraph" w:customStyle="1" w:styleId="Titelblau24pt">
    <w:name w:val="Titel blau 24 pt"/>
    <w:uiPriority w:val="6"/>
    <w:qFormat/>
    <w:rsid w:val="009064AD"/>
    <w:pPr>
      <w:spacing w:line="192" w:lineRule="auto"/>
    </w:pPr>
    <w:rPr>
      <w:rFonts w:ascii="Times New Roman" w:eastAsia="Times New Roman" w:hAnsi="Times New Roman" w:cstheme="majorBidi"/>
      <w:caps/>
      <w:color w:val="1F6BAE"/>
      <w:sz w:val="48"/>
      <w:szCs w:val="36"/>
    </w:rPr>
  </w:style>
  <w:style w:type="character" w:customStyle="1" w:styleId="berschrift2Zchn">
    <w:name w:val="Überschrift 2 Zchn"/>
    <w:basedOn w:val="Absatz-Standardschriftart"/>
    <w:link w:val="berschrift2"/>
    <w:uiPriority w:val="9"/>
    <w:rsid w:val="0065237B"/>
    <w:rPr>
      <w:rFonts w:ascii="Times New Roman" w:eastAsia="Times New Roman" w:hAnsi="Times New Roman" w:cstheme="majorBidi"/>
      <w:caps/>
      <w:color w:val="1F6BAE"/>
      <w:sz w:val="76"/>
      <w:szCs w:val="36"/>
    </w:rPr>
  </w:style>
  <w:style w:type="character" w:styleId="Fett">
    <w:name w:val="Strong"/>
    <w:basedOn w:val="Absatz-Standardschriftart"/>
    <w:uiPriority w:val="22"/>
    <w:qFormat/>
    <w:rsid w:val="00475E6D"/>
    <w:rPr>
      <w:b/>
      <w:bCs/>
      <w:color w:val="000000"/>
    </w:rPr>
  </w:style>
  <w:style w:type="paragraph" w:customStyle="1" w:styleId="Titelschwarz24pt">
    <w:name w:val="Titel schwarz 24 pt"/>
    <w:basedOn w:val="Standard"/>
    <w:uiPriority w:val="6"/>
    <w:qFormat/>
    <w:rsid w:val="002A2DB9"/>
    <w:pPr>
      <w:spacing w:line="192" w:lineRule="auto"/>
    </w:pPr>
    <w:rPr>
      <w:rFonts w:eastAsia="Times New Roman"/>
      <w:caps/>
      <w:color w:val="000000"/>
      <w:sz w:val="48"/>
      <w:szCs w:val="36"/>
    </w:rPr>
  </w:style>
  <w:style w:type="paragraph" w:customStyle="1" w:styleId="berschrift2Grad">
    <w:name w:val="Überschrift 2. Grad"/>
    <w:aliases w:val="ÜS 2. Grad"/>
    <w:basedOn w:val="berschrift1"/>
    <w:next w:val="Flietext"/>
    <w:uiPriority w:val="2"/>
    <w:qFormat/>
    <w:rsid w:val="00B466A5"/>
    <w:pPr>
      <w:keepNext/>
      <w:spacing w:before="270" w:after="90"/>
      <w:ind w:left="680"/>
    </w:pPr>
    <w:rPr>
      <w:color w:val="141313"/>
      <w:sz w:val="36"/>
    </w:rPr>
  </w:style>
  <w:style w:type="paragraph" w:customStyle="1" w:styleId="Zwischentitel">
    <w:name w:val="Zwischentitel"/>
    <w:next w:val="Flietext"/>
    <w:uiPriority w:val="2"/>
    <w:qFormat/>
    <w:rsid w:val="00B466A5"/>
    <w:pPr>
      <w:keepNext/>
      <w:spacing w:before="270"/>
    </w:pPr>
    <w:rPr>
      <w:rFonts w:ascii="Times New Roman" w:hAnsi="Times New Roman"/>
      <w:b/>
      <w:bCs/>
      <w:caps/>
      <w:color w:val="000000"/>
      <w:sz w:val="21"/>
      <w:szCs w:val="21"/>
    </w:rPr>
  </w:style>
  <w:style w:type="character" w:customStyle="1" w:styleId="Einleitung">
    <w:name w:val="Einleitung"/>
    <w:basedOn w:val="Absatz-Standardschriftart"/>
    <w:uiPriority w:val="2"/>
    <w:qFormat/>
    <w:rsid w:val="00475E6D"/>
    <w:rPr>
      <w:rFonts w:ascii="Times New Roman" w:hAnsi="Times New Roman"/>
      <w:b/>
      <w:bCs/>
      <w:caps/>
      <w:smallCaps w:val="0"/>
      <w:strike w:val="0"/>
      <w:dstrike w:val="0"/>
      <w:vanish w:val="0"/>
      <w:color w:val="000000"/>
      <w:sz w:val="21"/>
      <w:szCs w:val="21"/>
      <w:vertAlign w:val="baseline"/>
    </w:rPr>
  </w:style>
  <w:style w:type="paragraph" w:styleId="Zitat">
    <w:name w:val="Quote"/>
    <w:basedOn w:val="Standard"/>
    <w:next w:val="Standard"/>
    <w:link w:val="ZitatZchn"/>
    <w:uiPriority w:val="29"/>
    <w:rsid w:val="00BC6017"/>
    <w:rPr>
      <w:i/>
      <w:iCs/>
      <w:color w:val="000000" w:themeColor="text1"/>
    </w:rPr>
  </w:style>
  <w:style w:type="character" w:customStyle="1" w:styleId="ZitatZchn">
    <w:name w:val="Zitat Zchn"/>
    <w:basedOn w:val="Absatz-Standardschriftart"/>
    <w:link w:val="Zitat"/>
    <w:uiPriority w:val="29"/>
    <w:rsid w:val="00BC6017"/>
    <w:rPr>
      <w:rFonts w:ascii="Times New Roman" w:hAnsi="Times New Roman"/>
      <w:i/>
      <w:iCs/>
      <w:color w:val="000000" w:themeColor="text1"/>
      <w:sz w:val="21"/>
      <w:szCs w:val="21"/>
    </w:rPr>
  </w:style>
  <w:style w:type="paragraph" w:styleId="IntensivesZitat">
    <w:name w:val="Intense Quote"/>
    <w:basedOn w:val="Standard"/>
    <w:next w:val="Standard"/>
    <w:link w:val="IntensivesZitatZchn"/>
    <w:uiPriority w:val="30"/>
    <w:rsid w:val="00BC6017"/>
    <w:pPr>
      <w:pBdr>
        <w:bottom w:val="single" w:sz="4" w:space="4" w:color="4F81BD" w:themeColor="accent1"/>
      </w:pBdr>
      <w:spacing w:before="200" w:after="280"/>
      <w:ind w:left="936" w:right="936"/>
    </w:pPr>
    <w:rPr>
      <w:b/>
      <w:bCs/>
      <w:i/>
      <w:iCs/>
      <w:color w:val="4F81BD" w:themeColor="accent1"/>
    </w:rPr>
  </w:style>
  <w:style w:type="character" w:customStyle="1" w:styleId="IntensivesZitatZchn">
    <w:name w:val="Intensives Zitat Zchn"/>
    <w:basedOn w:val="Absatz-Standardschriftart"/>
    <w:link w:val="IntensivesZitat"/>
    <w:uiPriority w:val="30"/>
    <w:rsid w:val="00BC6017"/>
    <w:rPr>
      <w:rFonts w:ascii="Times New Roman" w:hAnsi="Times New Roman"/>
      <w:b/>
      <w:bCs/>
      <w:i/>
      <w:iCs/>
      <w:color w:val="4F81BD" w:themeColor="accent1"/>
      <w:sz w:val="21"/>
      <w:szCs w:val="21"/>
    </w:rPr>
  </w:style>
  <w:style w:type="paragraph" w:styleId="Kopfzeile">
    <w:name w:val="header"/>
    <w:link w:val="KopfzeileZchn"/>
    <w:uiPriority w:val="6"/>
    <w:rsid w:val="00475E6D"/>
    <w:pPr>
      <w:tabs>
        <w:tab w:val="center" w:pos="4536"/>
        <w:tab w:val="right" w:pos="9072"/>
      </w:tabs>
      <w:ind w:left="680"/>
    </w:pPr>
    <w:rPr>
      <w:rFonts w:ascii="Times New Roman" w:hAnsi="Times New Roman"/>
      <w:caps/>
      <w:color w:val="1F6BAE"/>
      <w:sz w:val="18"/>
      <w:szCs w:val="18"/>
    </w:rPr>
  </w:style>
  <w:style w:type="character" w:customStyle="1" w:styleId="KopfzeileZchn">
    <w:name w:val="Kopfzeile Zchn"/>
    <w:basedOn w:val="Absatz-Standardschriftart"/>
    <w:link w:val="Kopfzeile"/>
    <w:uiPriority w:val="6"/>
    <w:rsid w:val="00C00B22"/>
    <w:rPr>
      <w:rFonts w:ascii="Times New Roman" w:hAnsi="Times New Roman"/>
      <w:caps/>
      <w:color w:val="1F6BAE"/>
      <w:sz w:val="18"/>
      <w:szCs w:val="18"/>
    </w:rPr>
  </w:style>
  <w:style w:type="paragraph" w:styleId="Fuzeile">
    <w:name w:val="footer"/>
    <w:link w:val="FuzeileZchn"/>
    <w:uiPriority w:val="6"/>
    <w:rsid w:val="00D5521D"/>
    <w:pPr>
      <w:tabs>
        <w:tab w:val="center" w:pos="4536"/>
        <w:tab w:val="right" w:pos="9072"/>
      </w:tabs>
      <w:jc w:val="center"/>
    </w:pPr>
    <w:rPr>
      <w:rFonts w:ascii="Times New Roman" w:hAnsi="Times New Roman"/>
      <w:color w:val="1F6BAE"/>
      <w:sz w:val="14"/>
      <w:szCs w:val="21"/>
    </w:rPr>
  </w:style>
  <w:style w:type="character" w:customStyle="1" w:styleId="FuzeileZchn">
    <w:name w:val="Fußzeile Zchn"/>
    <w:basedOn w:val="Absatz-Standardschriftart"/>
    <w:link w:val="Fuzeile"/>
    <w:uiPriority w:val="6"/>
    <w:rsid w:val="0077113E"/>
    <w:rPr>
      <w:rFonts w:ascii="Times New Roman" w:hAnsi="Times New Roman"/>
      <w:color w:val="1F6BAE"/>
      <w:sz w:val="14"/>
      <w:szCs w:val="21"/>
    </w:rPr>
  </w:style>
  <w:style w:type="character" w:customStyle="1" w:styleId="berschrift3Zchn">
    <w:name w:val="Überschrift 3 Zchn"/>
    <w:basedOn w:val="Absatz-Standardschriftart"/>
    <w:link w:val="berschrift3"/>
    <w:uiPriority w:val="9"/>
    <w:rsid w:val="00FA5199"/>
    <w:rPr>
      <w:rFonts w:ascii="Times New Roman" w:hAnsi="Times New Roman"/>
      <w:b/>
      <w:bCs/>
      <w:caps/>
      <w:color w:val="141313"/>
      <w:sz w:val="21"/>
      <w:szCs w:val="21"/>
    </w:rPr>
  </w:style>
  <w:style w:type="paragraph" w:customStyle="1" w:styleId="Impressumallg">
    <w:name w:val="Impressum allg"/>
    <w:uiPriority w:val="6"/>
    <w:rsid w:val="00560C49"/>
    <w:pPr>
      <w:widowControl w:val="0"/>
      <w:tabs>
        <w:tab w:val="left" w:pos="-5387"/>
      </w:tabs>
      <w:autoSpaceDE w:val="0"/>
      <w:autoSpaceDN w:val="0"/>
      <w:adjustRightInd w:val="0"/>
      <w:spacing w:line="276" w:lineRule="auto"/>
      <w:ind w:left="142"/>
      <w:textAlignment w:val="center"/>
    </w:pPr>
    <w:rPr>
      <w:rFonts w:ascii="Times New Roman" w:hAnsi="Times New Roman"/>
      <w:noProof/>
      <w:color w:val="000000"/>
      <w:sz w:val="14"/>
      <w:szCs w:val="14"/>
      <w:lang w:val="de-DE" w:eastAsia="de-DE"/>
    </w:rPr>
  </w:style>
  <w:style w:type="paragraph" w:customStyle="1" w:styleId="ImpressumMinisterium">
    <w:name w:val="Impressum Ministerium"/>
    <w:uiPriority w:val="6"/>
    <w:qFormat/>
    <w:rsid w:val="00475E6D"/>
    <w:rPr>
      <w:rFonts w:ascii="Times New Roman" w:hAnsi="Times New Roman"/>
      <w:caps/>
      <w:noProof/>
      <w:color w:val="000000"/>
      <w:sz w:val="14"/>
      <w:szCs w:val="14"/>
      <w:lang w:val="de-DE" w:eastAsia="de-DE"/>
    </w:rPr>
  </w:style>
  <w:style w:type="paragraph" w:styleId="Sprechblasentext">
    <w:name w:val="Balloon Text"/>
    <w:basedOn w:val="Standard"/>
    <w:link w:val="SprechblasentextZchn"/>
    <w:uiPriority w:val="99"/>
    <w:semiHidden/>
    <w:unhideWhenUsed/>
    <w:rsid w:val="004511BE"/>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4511BE"/>
    <w:rPr>
      <w:rFonts w:ascii="Lucida Grande" w:hAnsi="Lucida Grande" w:cs="Lucida Grande"/>
      <w:sz w:val="18"/>
      <w:szCs w:val="18"/>
    </w:rPr>
  </w:style>
  <w:style w:type="paragraph" w:styleId="Inhaltsverzeichnisberschrift">
    <w:name w:val="TOC Heading"/>
    <w:basedOn w:val="FlietextEinleitung"/>
    <w:next w:val="FlietextEinleitung"/>
    <w:uiPriority w:val="39"/>
    <w:unhideWhenUsed/>
    <w:rsid w:val="00660A39"/>
    <w:pPr>
      <w:keepNext/>
      <w:keepLines/>
      <w:spacing w:before="400"/>
    </w:pPr>
    <w:rPr>
      <w:caps/>
      <w:noProof/>
      <w:sz w:val="28"/>
      <w:lang w:val="de-DE"/>
    </w:rPr>
  </w:style>
  <w:style w:type="paragraph" w:styleId="Verzeichnis1">
    <w:name w:val="toc 1"/>
    <w:next w:val="FlietextEinleitung"/>
    <w:autoRedefine/>
    <w:uiPriority w:val="39"/>
    <w:unhideWhenUsed/>
    <w:rsid w:val="00F81D3A"/>
    <w:pPr>
      <w:tabs>
        <w:tab w:val="left" w:pos="284"/>
        <w:tab w:val="right" w:leader="dot" w:pos="9072"/>
      </w:tabs>
      <w:spacing w:before="240" w:after="120"/>
    </w:pPr>
    <w:rPr>
      <w:rFonts w:ascii="Times New Roman" w:hAnsi="Times New Roman"/>
      <w:bCs/>
      <w:caps/>
      <w:noProof/>
      <w:color w:val="000000"/>
      <w:sz w:val="21"/>
      <w:szCs w:val="21"/>
    </w:rPr>
  </w:style>
  <w:style w:type="paragraph" w:styleId="Verzeichnis2">
    <w:name w:val="toc 2"/>
    <w:next w:val="FlietextEinleitung"/>
    <w:autoRedefine/>
    <w:uiPriority w:val="39"/>
    <w:unhideWhenUsed/>
    <w:rsid w:val="00B00BEC"/>
    <w:pPr>
      <w:tabs>
        <w:tab w:val="left" w:pos="794"/>
        <w:tab w:val="right" w:leader="dot" w:pos="9072"/>
      </w:tabs>
      <w:ind w:left="284"/>
    </w:pPr>
    <w:rPr>
      <w:rFonts w:ascii="Times New Roman" w:hAnsi="Times New Roman"/>
      <w:caps/>
      <w:noProof/>
      <w:color w:val="000000"/>
      <w:sz w:val="21"/>
      <w:szCs w:val="21"/>
    </w:rPr>
  </w:style>
  <w:style w:type="paragraph" w:styleId="Verzeichnis3">
    <w:name w:val="toc 3"/>
    <w:next w:val="FlietextEinleitung"/>
    <w:autoRedefine/>
    <w:uiPriority w:val="39"/>
    <w:unhideWhenUsed/>
    <w:rsid w:val="00B00BEC"/>
    <w:pPr>
      <w:tabs>
        <w:tab w:val="left" w:pos="992"/>
        <w:tab w:val="right" w:leader="dot" w:pos="9072"/>
      </w:tabs>
      <w:ind w:left="284"/>
    </w:pPr>
    <w:rPr>
      <w:rFonts w:ascii="Times New Roman" w:hAnsi="Times New Roman"/>
      <w:smallCaps/>
      <w:color w:val="000000"/>
      <w:sz w:val="21"/>
      <w:szCs w:val="22"/>
    </w:rPr>
  </w:style>
  <w:style w:type="paragraph" w:styleId="Verzeichnis4">
    <w:name w:val="toc 4"/>
    <w:next w:val="FlietextEinleitung"/>
    <w:autoRedefine/>
    <w:uiPriority w:val="39"/>
    <w:unhideWhenUsed/>
    <w:rsid w:val="00B00BEC"/>
    <w:pPr>
      <w:tabs>
        <w:tab w:val="left" w:pos="1134"/>
        <w:tab w:val="right" w:leader="dot" w:pos="9072"/>
      </w:tabs>
      <w:ind w:left="284"/>
    </w:pPr>
    <w:rPr>
      <w:rFonts w:ascii="Times New Roman" w:hAnsi="Times New Roman"/>
      <w:noProof/>
      <w:color w:val="000000"/>
      <w:sz w:val="21"/>
      <w:szCs w:val="21"/>
    </w:rPr>
  </w:style>
  <w:style w:type="paragraph" w:styleId="Verzeichnis5">
    <w:name w:val="toc 5"/>
    <w:next w:val="FlietextEinleitung"/>
    <w:autoRedefine/>
    <w:uiPriority w:val="39"/>
    <w:unhideWhenUsed/>
    <w:rsid w:val="00B00BEC"/>
    <w:pPr>
      <w:tabs>
        <w:tab w:val="left" w:pos="1276"/>
        <w:tab w:val="right" w:leader="dot" w:pos="9072"/>
      </w:tabs>
      <w:ind w:left="284"/>
    </w:pPr>
    <w:rPr>
      <w:rFonts w:ascii="Times New Roman" w:hAnsi="Times New Roman"/>
      <w:noProof/>
      <w:color w:val="000000"/>
      <w:sz w:val="21"/>
      <w:szCs w:val="21"/>
    </w:rPr>
  </w:style>
  <w:style w:type="paragraph" w:styleId="Verzeichnis6">
    <w:name w:val="toc 6"/>
    <w:next w:val="FlietextEinleitung"/>
    <w:autoRedefine/>
    <w:uiPriority w:val="39"/>
    <w:unhideWhenUsed/>
    <w:rsid w:val="00B00BEC"/>
    <w:pPr>
      <w:tabs>
        <w:tab w:val="left" w:pos="1446"/>
        <w:tab w:val="right" w:leader="dot" w:pos="9072"/>
      </w:tabs>
      <w:ind w:left="284"/>
    </w:pPr>
    <w:rPr>
      <w:rFonts w:ascii="Times New Roman" w:hAnsi="Times New Roman"/>
      <w:color w:val="141313"/>
      <w:sz w:val="21"/>
      <w:szCs w:val="21"/>
    </w:rPr>
  </w:style>
  <w:style w:type="paragraph" w:styleId="Verzeichnis7">
    <w:name w:val="toc 7"/>
    <w:next w:val="FlietextEinleitung"/>
    <w:autoRedefine/>
    <w:uiPriority w:val="39"/>
    <w:unhideWhenUsed/>
    <w:rsid w:val="00B00BEC"/>
    <w:pPr>
      <w:tabs>
        <w:tab w:val="left" w:pos="1588"/>
        <w:tab w:val="right" w:leader="dot" w:pos="9072"/>
      </w:tabs>
      <w:ind w:left="284"/>
    </w:pPr>
    <w:rPr>
      <w:rFonts w:ascii="Times New Roman" w:hAnsi="Times New Roman"/>
      <w:noProof/>
      <w:color w:val="141313"/>
      <w:sz w:val="21"/>
      <w:szCs w:val="22"/>
    </w:rPr>
  </w:style>
  <w:style w:type="paragraph" w:styleId="Verzeichnis8">
    <w:name w:val="toc 8"/>
    <w:next w:val="FlietextEinleitung"/>
    <w:autoRedefine/>
    <w:uiPriority w:val="39"/>
    <w:unhideWhenUsed/>
    <w:rsid w:val="002B0E1A"/>
    <w:pPr>
      <w:tabs>
        <w:tab w:val="left" w:pos="284"/>
        <w:tab w:val="left" w:pos="1418"/>
        <w:tab w:val="left" w:pos="1680"/>
        <w:tab w:val="right" w:leader="dot" w:pos="9072"/>
      </w:tabs>
      <w:ind w:left="284"/>
      <w:outlineLvl w:val="7"/>
    </w:pPr>
    <w:rPr>
      <w:rFonts w:ascii="Times New Roman" w:hAnsi="Times New Roman"/>
      <w:noProof/>
      <w:color w:val="141313"/>
      <w:sz w:val="21"/>
      <w:szCs w:val="22"/>
    </w:rPr>
  </w:style>
  <w:style w:type="character" w:customStyle="1" w:styleId="berschrift8Zchn">
    <w:name w:val="Überschrift 8 Zchn"/>
    <w:basedOn w:val="Absatz-Standardschriftart"/>
    <w:link w:val="berschrift8"/>
    <w:uiPriority w:val="9"/>
    <w:rsid w:val="007D50DA"/>
    <w:rPr>
      <w:rFonts w:ascii="Times New Roman" w:hAnsi="Times New Roman"/>
      <w:caps/>
      <w:color w:val="141313"/>
      <w:sz w:val="21"/>
      <w:szCs w:val="21"/>
    </w:rPr>
  </w:style>
  <w:style w:type="character" w:styleId="IntensiveHervorhebung">
    <w:name w:val="Intense Emphasis"/>
    <w:basedOn w:val="Absatz-Standardschriftart"/>
    <w:uiPriority w:val="21"/>
    <w:rsid w:val="00BC6017"/>
    <w:rPr>
      <w:b/>
      <w:bCs/>
      <w:i/>
      <w:iCs/>
      <w:color w:val="4F81BD" w:themeColor="accent1"/>
    </w:rPr>
  </w:style>
  <w:style w:type="character" w:styleId="Hervorhebung">
    <w:name w:val="Emphasis"/>
    <w:basedOn w:val="Absatz-Standardschriftart"/>
    <w:uiPriority w:val="20"/>
    <w:qFormat/>
    <w:rsid w:val="00BC6017"/>
    <w:rPr>
      <w:i/>
      <w:iCs/>
    </w:rPr>
  </w:style>
  <w:style w:type="character" w:styleId="SchwacheHervorhebung">
    <w:name w:val="Subtle Emphasis"/>
    <w:basedOn w:val="Absatz-Standardschriftart"/>
    <w:uiPriority w:val="19"/>
    <w:rsid w:val="00BC6017"/>
    <w:rPr>
      <w:i/>
      <w:iCs/>
      <w:color w:val="808080" w:themeColor="text1" w:themeTint="7F"/>
    </w:rPr>
  </w:style>
  <w:style w:type="paragraph" w:styleId="Untertitel">
    <w:name w:val="Subtitle"/>
    <w:basedOn w:val="Standard"/>
    <w:next w:val="Standard"/>
    <w:link w:val="UntertitelZchn"/>
    <w:uiPriority w:val="11"/>
    <w:rsid w:val="00BC6017"/>
    <w:pPr>
      <w:numPr>
        <w:ilvl w:val="1"/>
      </w:numPr>
    </w:pPr>
    <w:rPr>
      <w:rFonts w:eastAsia="Times New Roman" w:cstheme="majorBidi"/>
      <w:i/>
      <w:iCs/>
      <w:color w:val="4F81BD" w:themeColor="accent1"/>
      <w:spacing w:val="15"/>
      <w:sz w:val="24"/>
      <w:szCs w:val="24"/>
    </w:rPr>
  </w:style>
  <w:style w:type="character" w:customStyle="1" w:styleId="UntertitelZchn">
    <w:name w:val="Untertitel Zchn"/>
    <w:basedOn w:val="Absatz-Standardschriftart"/>
    <w:link w:val="Untertitel"/>
    <w:uiPriority w:val="11"/>
    <w:rsid w:val="00BC6017"/>
    <w:rPr>
      <w:rFonts w:ascii="Times New Roman" w:eastAsia="Times New Roman" w:hAnsi="Times New Roman" w:cstheme="majorBidi"/>
      <w:i/>
      <w:iCs/>
      <w:color w:val="4F81BD" w:themeColor="accent1"/>
      <w:spacing w:val="15"/>
      <w:sz w:val="24"/>
      <w:szCs w:val="24"/>
    </w:rPr>
  </w:style>
  <w:style w:type="paragraph" w:styleId="Titel">
    <w:name w:val="Title"/>
    <w:basedOn w:val="Standard"/>
    <w:next w:val="Standard"/>
    <w:link w:val="TitelZchn"/>
    <w:uiPriority w:val="10"/>
    <w:rsid w:val="00BC6017"/>
    <w:pPr>
      <w:pBdr>
        <w:bottom w:val="single" w:sz="8" w:space="4" w:color="4F81BD" w:themeColor="accent1"/>
      </w:pBdr>
      <w:spacing w:after="300"/>
      <w:contextualSpacing/>
    </w:pPr>
    <w:rPr>
      <w:rFonts w:eastAsia="Times New Roman"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rsid w:val="00BC6017"/>
    <w:rPr>
      <w:rFonts w:ascii="Times New Roman" w:eastAsia="Times New Roman" w:hAnsi="Times New Roman" w:cstheme="majorBidi"/>
      <w:color w:val="17365D" w:themeColor="text2" w:themeShade="BF"/>
      <w:spacing w:val="5"/>
      <w:kern w:val="28"/>
      <w:sz w:val="52"/>
      <w:szCs w:val="52"/>
    </w:rPr>
  </w:style>
  <w:style w:type="character" w:styleId="SchwacherVerweis">
    <w:name w:val="Subtle Reference"/>
    <w:basedOn w:val="Absatz-Standardschriftart"/>
    <w:uiPriority w:val="31"/>
    <w:rsid w:val="00BC6017"/>
    <w:rPr>
      <w:smallCaps/>
      <w:color w:val="C0504D" w:themeColor="accent2"/>
      <w:u w:val="single"/>
    </w:rPr>
  </w:style>
  <w:style w:type="character" w:styleId="IntensiverVerweis">
    <w:name w:val="Intense Reference"/>
    <w:basedOn w:val="Absatz-Standardschriftart"/>
    <w:uiPriority w:val="32"/>
    <w:rsid w:val="00BC6017"/>
    <w:rPr>
      <w:b/>
      <w:bCs/>
      <w:smallCaps/>
      <w:color w:val="C0504D" w:themeColor="accent2"/>
      <w:spacing w:val="5"/>
      <w:u w:val="single"/>
    </w:rPr>
  </w:style>
  <w:style w:type="character" w:styleId="Buchtitel">
    <w:name w:val="Book Title"/>
    <w:basedOn w:val="Absatz-Standardschriftart"/>
    <w:uiPriority w:val="33"/>
    <w:rsid w:val="00BC6017"/>
    <w:rPr>
      <w:b/>
      <w:bCs/>
      <w:smallCaps/>
      <w:spacing w:val="5"/>
    </w:rPr>
  </w:style>
  <w:style w:type="paragraph" w:styleId="Listenabsatz">
    <w:name w:val="List Paragraph"/>
    <w:basedOn w:val="Standard"/>
    <w:uiPriority w:val="34"/>
    <w:qFormat/>
    <w:rsid w:val="00BC6017"/>
    <w:pPr>
      <w:ind w:left="720"/>
      <w:contextualSpacing/>
    </w:pPr>
  </w:style>
  <w:style w:type="character" w:styleId="Seitenzahl">
    <w:name w:val="page number"/>
    <w:basedOn w:val="Absatz-Standardschriftart"/>
    <w:uiPriority w:val="99"/>
    <w:unhideWhenUsed/>
    <w:rsid w:val="00FE4936"/>
  </w:style>
  <w:style w:type="paragraph" w:styleId="Beschriftung">
    <w:name w:val="caption"/>
    <w:aliases w:val="Bildtext"/>
    <w:next w:val="Flietext"/>
    <w:uiPriority w:val="3"/>
    <w:qFormat/>
    <w:rsid w:val="006225BA"/>
    <w:pPr>
      <w:keepNext/>
      <w:tabs>
        <w:tab w:val="left" w:pos="3119"/>
      </w:tabs>
      <w:spacing w:after="200"/>
      <w:ind w:left="709"/>
    </w:pPr>
    <w:rPr>
      <w:rFonts w:ascii="Times New Roman" w:hAnsi="Times New Roman"/>
      <w:bCs/>
      <w:i/>
      <w:color w:val="000000"/>
      <w:sz w:val="18"/>
      <w:szCs w:val="18"/>
    </w:rPr>
  </w:style>
  <w:style w:type="table" w:styleId="Tabellenraster">
    <w:name w:val="Table Grid"/>
    <w:basedOn w:val="NormaleTabelle"/>
    <w:uiPriority w:val="59"/>
    <w:rsid w:val="00A76B57"/>
    <w:rPr>
      <w:rFonts w:ascii="Times New Roman" w:hAnsi="Times New Roman" w:cstheme="minorBidi"/>
      <w:sz w:val="24"/>
      <w:szCs w:val="24"/>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Prio1">
    <w:name w:val="Tabelle Prio 1"/>
    <w:uiPriority w:val="5"/>
    <w:rsid w:val="00475E6D"/>
    <w:pPr>
      <w:spacing w:before="40" w:after="40"/>
      <w:jc w:val="center"/>
    </w:pPr>
    <w:rPr>
      <w:rFonts w:ascii="Times New Roman" w:eastAsia="Times New Roman" w:hAnsi="Times New Roman"/>
      <w:b/>
      <w:color w:val="1F6BAE"/>
      <w:sz w:val="21"/>
      <w:szCs w:val="21"/>
      <w:lang w:val="de-DE" w:eastAsia="de-DE"/>
    </w:rPr>
  </w:style>
  <w:style w:type="paragraph" w:customStyle="1" w:styleId="TabellePrio2">
    <w:name w:val="Tabelle Prio 2"/>
    <w:uiPriority w:val="5"/>
    <w:rsid w:val="00945DC6"/>
    <w:pPr>
      <w:jc w:val="center"/>
    </w:pPr>
    <w:rPr>
      <w:rFonts w:ascii="Times New Roman" w:eastAsia="Times New Roman" w:hAnsi="Times New Roman"/>
      <w:color w:val="000000"/>
      <w:sz w:val="21"/>
      <w:szCs w:val="21"/>
      <w:lang w:val="de-DE" w:eastAsia="de-DE"/>
    </w:rPr>
  </w:style>
  <w:style w:type="paragraph" w:customStyle="1" w:styleId="TabellePrio3">
    <w:name w:val="Tabelle Prio 3"/>
    <w:uiPriority w:val="5"/>
    <w:rsid w:val="00475E6D"/>
    <w:pPr>
      <w:jc w:val="center"/>
    </w:pPr>
    <w:rPr>
      <w:rFonts w:ascii="Times New Roman" w:eastAsia="Times New Roman" w:hAnsi="Times New Roman"/>
      <w:color w:val="000000"/>
      <w:sz w:val="14"/>
      <w:szCs w:val="21"/>
      <w:lang w:val="de-DE" w:eastAsia="de-DE"/>
    </w:rPr>
  </w:style>
  <w:style w:type="table" w:styleId="MittlereListe1-Akzent2">
    <w:name w:val="Medium List 1 Accent 2"/>
    <w:basedOn w:val="NormaleTabelle"/>
    <w:uiPriority w:val="65"/>
    <w:rsid w:val="00F87D65"/>
    <w:rPr>
      <w:rFonts w:ascii="Times New Roman" w:hAnsi="Times New Roman" w:cstheme="minorBidi"/>
      <w:color w:val="000000" w:themeColor="text1"/>
      <w:sz w:val="24"/>
      <w:szCs w:val="24"/>
      <w:lang w:val="de-DE" w:eastAsia="de-DE"/>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ittlereListe1-Akzent1">
    <w:name w:val="Medium List 1 Accent 1"/>
    <w:basedOn w:val="NormaleTabelle"/>
    <w:uiPriority w:val="65"/>
    <w:rsid w:val="00F87D65"/>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ittlereListe1">
    <w:name w:val="Medium List 1"/>
    <w:basedOn w:val="NormaleTabelle"/>
    <w:uiPriority w:val="65"/>
    <w:rsid w:val="00F87D65"/>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HelleSchattierung">
    <w:name w:val="Light Shading"/>
    <w:basedOn w:val="NormaleTabelle"/>
    <w:uiPriority w:val="60"/>
    <w:rsid w:val="00F87D65"/>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QuelleTabelleDiagramm">
    <w:name w:val="Quelle: Tabelle Diagramm"/>
    <w:uiPriority w:val="4"/>
    <w:qFormat/>
    <w:rsid w:val="00475E6D"/>
    <w:rPr>
      <w:rFonts w:ascii="Times New Roman" w:hAnsi="Times New Roman"/>
      <w:color w:val="000000"/>
      <w:sz w:val="16"/>
      <w:szCs w:val="21"/>
    </w:rPr>
  </w:style>
  <w:style w:type="paragraph" w:customStyle="1" w:styleId="Tabellentitel">
    <w:name w:val="Tabellentitel"/>
    <w:next w:val="Tabelle"/>
    <w:uiPriority w:val="4"/>
    <w:qFormat/>
    <w:rsid w:val="00C37B6E"/>
    <w:pPr>
      <w:spacing w:before="270" w:after="210"/>
    </w:pPr>
    <w:rPr>
      <w:rFonts w:ascii="Times New Roman" w:eastAsia="Times New Roman" w:hAnsi="Times New Roman" w:cstheme="majorBidi"/>
      <w:caps/>
      <w:color w:val="1F6BAE"/>
      <w:sz w:val="21"/>
      <w:szCs w:val="21"/>
    </w:rPr>
  </w:style>
  <w:style w:type="character" w:customStyle="1" w:styleId="berschrift4Zchn">
    <w:name w:val="Überschrift 4 Zchn"/>
    <w:basedOn w:val="Absatz-Standardschriftart"/>
    <w:link w:val="berschrift4"/>
    <w:uiPriority w:val="9"/>
    <w:rsid w:val="00F8448B"/>
    <w:rPr>
      <w:rFonts w:ascii="Times New Roman" w:hAnsi="Times New Roman"/>
      <w:caps/>
      <w:color w:val="141313"/>
      <w:sz w:val="21"/>
      <w:szCs w:val="21"/>
    </w:rPr>
  </w:style>
  <w:style w:type="character" w:customStyle="1" w:styleId="berschrift5Zchn">
    <w:name w:val="Überschrift 5 Zchn"/>
    <w:basedOn w:val="Absatz-Standardschriftart"/>
    <w:link w:val="berschrift5"/>
    <w:uiPriority w:val="9"/>
    <w:rsid w:val="00F8448B"/>
    <w:rPr>
      <w:rFonts w:ascii="Times New Roman" w:hAnsi="Times New Roman"/>
      <w:caps/>
      <w:color w:val="141313"/>
      <w:sz w:val="21"/>
      <w:szCs w:val="21"/>
    </w:rPr>
  </w:style>
  <w:style w:type="character" w:customStyle="1" w:styleId="berschrift6Zchn">
    <w:name w:val="Überschrift 6 Zchn"/>
    <w:basedOn w:val="Absatz-Standardschriftart"/>
    <w:link w:val="berschrift6"/>
    <w:uiPriority w:val="9"/>
    <w:rsid w:val="00F8448B"/>
    <w:rPr>
      <w:rFonts w:ascii="Times New Roman" w:hAnsi="Times New Roman"/>
      <w:caps/>
      <w:color w:val="141313"/>
      <w:sz w:val="21"/>
      <w:szCs w:val="21"/>
    </w:rPr>
  </w:style>
  <w:style w:type="character" w:customStyle="1" w:styleId="berschrift7Zchn">
    <w:name w:val="Überschrift 7 Zchn"/>
    <w:basedOn w:val="Absatz-Standardschriftart"/>
    <w:link w:val="berschrift7"/>
    <w:uiPriority w:val="9"/>
    <w:rsid w:val="00F8448B"/>
    <w:rPr>
      <w:rFonts w:ascii="Times New Roman" w:hAnsi="Times New Roman"/>
      <w:caps/>
      <w:color w:val="141313"/>
      <w:sz w:val="21"/>
      <w:szCs w:val="21"/>
    </w:rPr>
  </w:style>
  <w:style w:type="paragraph" w:styleId="Verzeichnis9">
    <w:name w:val="toc 9"/>
    <w:next w:val="FlietextEinleitung"/>
    <w:autoRedefine/>
    <w:uiPriority w:val="39"/>
    <w:unhideWhenUsed/>
    <w:rsid w:val="00E55040"/>
    <w:pPr>
      <w:ind w:left="1680"/>
    </w:pPr>
    <w:rPr>
      <w:rFonts w:ascii="Times New Roman" w:hAnsi="Times New Roman"/>
      <w:color w:val="000000"/>
      <w:sz w:val="21"/>
      <w:szCs w:val="21"/>
    </w:rPr>
  </w:style>
  <w:style w:type="paragraph" w:customStyle="1" w:styleId="1Unterkapitel">
    <w:name w:val="1. Unterkapitel"/>
    <w:aliases w:val="1 UK"/>
    <w:basedOn w:val="berschrift3"/>
    <w:next w:val="Flietext"/>
    <w:uiPriority w:val="3"/>
    <w:qFormat/>
    <w:rsid w:val="00B466A5"/>
    <w:pPr>
      <w:keepNext/>
      <w:numPr>
        <w:ilvl w:val="1"/>
        <w:numId w:val="7"/>
      </w:numPr>
      <w:spacing w:before="270" w:line="270" w:lineRule="exact"/>
      <w:outlineLvl w:val="1"/>
    </w:pPr>
    <w:rPr>
      <w:color w:val="000000"/>
    </w:rPr>
  </w:style>
  <w:style w:type="paragraph" w:customStyle="1" w:styleId="11Unterkapitel">
    <w:name w:val="1.1 Unterkapitel"/>
    <w:aliases w:val="1.1 UK"/>
    <w:basedOn w:val="berschrift4"/>
    <w:next w:val="Flietext"/>
    <w:uiPriority w:val="3"/>
    <w:qFormat/>
    <w:rsid w:val="00B466A5"/>
    <w:pPr>
      <w:keepNext/>
      <w:numPr>
        <w:ilvl w:val="2"/>
        <w:numId w:val="7"/>
      </w:numPr>
      <w:spacing w:before="270" w:line="270" w:lineRule="exact"/>
      <w:outlineLvl w:val="2"/>
    </w:pPr>
    <w:rPr>
      <w:color w:val="000000"/>
    </w:rPr>
  </w:style>
  <w:style w:type="paragraph" w:customStyle="1" w:styleId="12Unterkapitel">
    <w:name w:val="1.2 Unterkapitel"/>
    <w:aliases w:val="1.2 UK"/>
    <w:basedOn w:val="berschrift5"/>
    <w:next w:val="Flietext"/>
    <w:uiPriority w:val="3"/>
    <w:qFormat/>
    <w:rsid w:val="00B466A5"/>
    <w:pPr>
      <w:keepNext/>
      <w:numPr>
        <w:ilvl w:val="3"/>
        <w:numId w:val="7"/>
      </w:numPr>
      <w:spacing w:before="270" w:line="270" w:lineRule="exact"/>
      <w:outlineLvl w:val="3"/>
    </w:pPr>
    <w:rPr>
      <w:color w:val="000000"/>
    </w:rPr>
  </w:style>
  <w:style w:type="paragraph" w:customStyle="1" w:styleId="13Unterkapitel">
    <w:name w:val="1.3 Unterkapitel"/>
    <w:aliases w:val="1.3 UK"/>
    <w:basedOn w:val="berschrift6"/>
    <w:next w:val="Flietext"/>
    <w:uiPriority w:val="3"/>
    <w:qFormat/>
    <w:rsid w:val="00B466A5"/>
    <w:pPr>
      <w:keepNext/>
      <w:numPr>
        <w:ilvl w:val="4"/>
        <w:numId w:val="7"/>
      </w:numPr>
      <w:spacing w:before="270" w:line="270" w:lineRule="exact"/>
      <w:outlineLvl w:val="4"/>
    </w:pPr>
    <w:rPr>
      <w:color w:val="000000"/>
    </w:rPr>
  </w:style>
  <w:style w:type="paragraph" w:customStyle="1" w:styleId="14Unterkapitel">
    <w:name w:val="1.4 Unterkapitel"/>
    <w:aliases w:val="1.4 UK"/>
    <w:basedOn w:val="Verzeichnis7"/>
    <w:next w:val="Flietext"/>
    <w:uiPriority w:val="3"/>
    <w:qFormat/>
    <w:rsid w:val="00B466A5"/>
    <w:pPr>
      <w:keepNext/>
      <w:numPr>
        <w:ilvl w:val="5"/>
        <w:numId w:val="7"/>
      </w:numPr>
      <w:tabs>
        <w:tab w:val="clear" w:pos="1588"/>
      </w:tabs>
      <w:spacing w:before="270" w:line="270" w:lineRule="exact"/>
      <w:outlineLvl w:val="5"/>
    </w:pPr>
    <w:rPr>
      <w:caps/>
      <w:color w:val="000000"/>
      <w:szCs w:val="21"/>
    </w:rPr>
  </w:style>
  <w:style w:type="paragraph" w:customStyle="1" w:styleId="15Unterkapitel">
    <w:name w:val="1.5 Unterkapitel"/>
    <w:aliases w:val="1.5 UK"/>
    <w:basedOn w:val="Verzeichnis8"/>
    <w:next w:val="Flietext"/>
    <w:uiPriority w:val="3"/>
    <w:qFormat/>
    <w:rsid w:val="0038029A"/>
    <w:pPr>
      <w:keepNext/>
      <w:numPr>
        <w:ilvl w:val="6"/>
        <w:numId w:val="7"/>
      </w:numPr>
      <w:spacing w:before="270" w:line="270" w:lineRule="exact"/>
      <w:outlineLvl w:val="5"/>
    </w:pPr>
    <w:rPr>
      <w:caps/>
      <w:color w:val="000000"/>
      <w:szCs w:val="21"/>
    </w:rPr>
  </w:style>
  <w:style w:type="paragraph" w:customStyle="1" w:styleId="FlietextEinleitung">
    <w:name w:val="Fließtext + Einleitung"/>
    <w:aliases w:val="Fließ+Einltg"/>
    <w:next w:val="Flietext"/>
    <w:uiPriority w:val="1"/>
    <w:qFormat/>
    <w:rsid w:val="00B466A5"/>
    <w:pPr>
      <w:spacing w:before="270" w:line="270" w:lineRule="exact"/>
      <w:ind w:firstLine="709"/>
    </w:pPr>
    <w:rPr>
      <w:rFonts w:ascii="Times New Roman" w:hAnsi="Times New Roman"/>
      <w:color w:val="000000"/>
      <w:sz w:val="21"/>
      <w:szCs w:val="21"/>
    </w:rPr>
  </w:style>
  <w:style w:type="paragraph" w:customStyle="1" w:styleId="berschrift128pt">
    <w:name w:val="Überschrift 1 28pt"/>
    <w:aliases w:val="ÜS 1 28pt"/>
    <w:basedOn w:val="berschrift118pt"/>
    <w:next w:val="FlietextEinleitung"/>
    <w:rsid w:val="00D629AE"/>
    <w:pPr>
      <w:spacing w:line="240" w:lineRule="auto"/>
      <w:ind w:left="1360" w:hanging="680"/>
    </w:pPr>
    <w:rPr>
      <w:sz w:val="56"/>
    </w:rPr>
  </w:style>
  <w:style w:type="paragraph" w:styleId="Dokumentstruktur">
    <w:name w:val="Document Map"/>
    <w:basedOn w:val="Standard"/>
    <w:link w:val="DokumentstrukturZchn"/>
    <w:uiPriority w:val="99"/>
    <w:semiHidden/>
    <w:unhideWhenUsed/>
    <w:rsid w:val="00F26B37"/>
    <w:rPr>
      <w:rFonts w:ascii="Lucida Grande" w:hAnsi="Lucida Grande" w:cs="Lucida Grande"/>
      <w:sz w:val="24"/>
      <w:szCs w:val="24"/>
    </w:rPr>
  </w:style>
  <w:style w:type="character" w:customStyle="1" w:styleId="DokumentstrukturZchn">
    <w:name w:val="Dokumentstruktur Zchn"/>
    <w:basedOn w:val="Absatz-Standardschriftart"/>
    <w:link w:val="Dokumentstruktur"/>
    <w:uiPriority w:val="99"/>
    <w:semiHidden/>
    <w:rsid w:val="00F26B37"/>
    <w:rPr>
      <w:rFonts w:ascii="Lucida Grande" w:hAnsi="Lucida Grande" w:cs="Lucida Grande"/>
      <w:color w:val="000000"/>
      <w:sz w:val="24"/>
      <w:szCs w:val="24"/>
    </w:rPr>
  </w:style>
  <w:style w:type="table" w:styleId="HelleSchattierung-Akzent1">
    <w:name w:val="Light Shading Accent 1"/>
    <w:basedOn w:val="NormaleTabelle"/>
    <w:uiPriority w:val="60"/>
    <w:rsid w:val="00B15870"/>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Abbildungsverzeichnis">
    <w:name w:val="table of figures"/>
    <w:basedOn w:val="Standard"/>
    <w:next w:val="Standard"/>
    <w:uiPriority w:val="99"/>
    <w:unhideWhenUsed/>
    <w:rsid w:val="000F0700"/>
    <w:pPr>
      <w:ind w:left="420" w:hanging="420"/>
    </w:pPr>
  </w:style>
  <w:style w:type="paragraph" w:customStyle="1" w:styleId="Aufzhlung">
    <w:name w:val="– Aufzählung"/>
    <w:basedOn w:val="Flietext"/>
    <w:next w:val="Flietext"/>
    <w:uiPriority w:val="3"/>
    <w:qFormat/>
    <w:rsid w:val="00B466A5"/>
    <w:pPr>
      <w:numPr>
        <w:numId w:val="5"/>
      </w:numPr>
      <w:spacing w:after="135"/>
    </w:pPr>
  </w:style>
  <w:style w:type="numbering" w:customStyle="1" w:styleId="Aufzhlung1">
    <w:name w:val="Aufzählung1"/>
    <w:uiPriority w:val="99"/>
    <w:rsid w:val="002B3F4E"/>
    <w:pPr>
      <w:numPr>
        <w:numId w:val="2"/>
      </w:numPr>
    </w:pPr>
  </w:style>
  <w:style w:type="character" w:styleId="Hyperlink">
    <w:name w:val="Hyperlink"/>
    <w:basedOn w:val="Absatz-Standardschriftart"/>
    <w:uiPriority w:val="99"/>
    <w:unhideWhenUsed/>
    <w:rsid w:val="00A7450F"/>
    <w:rPr>
      <w:color w:val="1F6BAE"/>
      <w:u w:val="single"/>
    </w:rPr>
  </w:style>
  <w:style w:type="character" w:styleId="BesuchterLink">
    <w:name w:val="FollowedHyperlink"/>
    <w:basedOn w:val="Absatz-Standardschriftart"/>
    <w:uiPriority w:val="99"/>
    <w:unhideWhenUsed/>
    <w:rsid w:val="00201E17"/>
    <w:rPr>
      <w:color w:val="800080" w:themeColor="followedHyperlink"/>
      <w:u w:val="single"/>
    </w:rPr>
  </w:style>
  <w:style w:type="paragraph" w:customStyle="1" w:styleId="Flietext">
    <w:name w:val="Fließtext"/>
    <w:basedOn w:val="FlietextEinleitung"/>
    <w:uiPriority w:val="2"/>
    <w:qFormat/>
    <w:rsid w:val="00B466A5"/>
    <w:pPr>
      <w:spacing w:line="276" w:lineRule="auto"/>
      <w:ind w:firstLine="0"/>
    </w:pPr>
  </w:style>
  <w:style w:type="table" w:customStyle="1" w:styleId="bmlfuweinfach">
    <w:name w:val="bmlfuw_einfach"/>
    <w:basedOn w:val="Tabellenraster"/>
    <w:uiPriority w:val="99"/>
    <w:rsid w:val="00CD075A"/>
    <w:pPr>
      <w:jc w:val="right"/>
    </w:pPr>
    <w:rPr>
      <w:sz w:val="21"/>
    </w:rPr>
    <w:tblPr>
      <w:jc w:val="right"/>
      <w:tblBorders>
        <w:top w:val="none" w:sz="0" w:space="0" w:color="auto"/>
        <w:left w:val="none" w:sz="0" w:space="0" w:color="auto"/>
        <w:bottom w:val="none" w:sz="0" w:space="0" w:color="auto"/>
        <w:right w:val="none" w:sz="0" w:space="0" w:color="auto"/>
        <w:insideH w:val="single" w:sz="2" w:space="0" w:color="auto"/>
        <w:insideV w:val="single" w:sz="2" w:space="0" w:color="auto"/>
      </w:tblBorders>
    </w:tblPr>
    <w:trPr>
      <w:jc w:val="right"/>
    </w:trPr>
    <w:tcPr>
      <w:vAlign w:val="center"/>
    </w:tcPr>
    <w:tblStylePr w:type="firstRow">
      <w:pPr>
        <w:jc w:val="right"/>
      </w:pPr>
      <w:rPr>
        <w:rFonts w:ascii="Times New Roman" w:hAnsi="Times New Roman"/>
        <w:b/>
        <w:color w:val="2869A1"/>
        <w:sz w:val="21"/>
      </w:rPr>
    </w:tblStylePr>
    <w:tblStylePr w:type="firstCol">
      <w:pPr>
        <w:jc w:val="left"/>
      </w:pPr>
      <w:rPr>
        <w:rFonts w:ascii="Times New Roman" w:hAnsi="Times New Roman"/>
        <w:b/>
        <w:color w:val="2869A1"/>
        <w:sz w:val="21"/>
      </w:rPr>
      <w:tblPr/>
      <w:tcPr>
        <w:vAlign w:val="center"/>
      </w:tcPr>
    </w:tblStylePr>
    <w:tblStylePr w:type="nwCell">
      <w:pPr>
        <w:jc w:val="left"/>
      </w:pPr>
      <w:rPr>
        <w:rFonts w:ascii="Times New Roman" w:hAnsi="Times New Roman"/>
        <w:b/>
        <w:color w:val="2869A1"/>
        <w:sz w:val="21"/>
      </w:rPr>
    </w:tblStylePr>
  </w:style>
  <w:style w:type="paragraph" w:customStyle="1" w:styleId="Tabelle">
    <w:name w:val="Tabelle"/>
    <w:uiPriority w:val="4"/>
    <w:qFormat/>
    <w:rsid w:val="00B466A5"/>
    <w:rPr>
      <w:rFonts w:ascii="Times New Roman" w:hAnsi="Times New Roman" w:cstheme="minorBidi"/>
      <w:sz w:val="21"/>
      <w:szCs w:val="21"/>
      <w:lang w:val="de-DE" w:eastAsia="de-DE"/>
    </w:rPr>
  </w:style>
  <w:style w:type="table" w:customStyle="1" w:styleId="bmlfuwwow">
    <w:name w:val="bmlfuw_wow"/>
    <w:basedOn w:val="NormaleTabelle"/>
    <w:uiPriority w:val="99"/>
    <w:rsid w:val="001C6C34"/>
    <w:pPr>
      <w:jc w:val="right"/>
    </w:pPr>
    <w:rPr>
      <w:rFonts w:ascii="Times New Roman" w:hAnsi="Times New Roman"/>
      <w:sz w:val="21"/>
    </w:rPr>
    <w:tblPr>
      <w:tblStyleRowBandSize w:val="1"/>
      <w:tblBorders>
        <w:insideH w:val="single" w:sz="2" w:space="0" w:color="FFFFFF" w:themeColor="background1"/>
      </w:tblBorders>
    </w:tblPr>
    <w:tcPr>
      <w:shd w:val="clear" w:color="auto" w:fill="E8E8E6"/>
      <w:vAlign w:val="center"/>
    </w:tcPr>
    <w:tblStylePr w:type="firstRow">
      <w:rPr>
        <w:rFonts w:ascii="Times New Roman" w:hAnsi="Times New Roman"/>
        <w:b/>
        <w:color w:val="2869A1"/>
        <w:sz w:val="21"/>
      </w:rPr>
      <w:tblPr/>
      <w:tcPr>
        <w:shd w:val="clear" w:color="auto" w:fill="F3F4F4"/>
      </w:tcPr>
    </w:tblStylePr>
    <w:tblStylePr w:type="firstCol">
      <w:pPr>
        <w:jc w:val="left"/>
      </w:pPr>
      <w:rPr>
        <w:rFonts w:ascii="Times New Roman" w:hAnsi="Times New Roman"/>
        <w:b/>
        <w:color w:val="2869A1"/>
        <w:sz w:val="21"/>
      </w:rPr>
    </w:tblStylePr>
    <w:tblStylePr w:type="band1Horz">
      <w:tblPr/>
      <w:tcPr>
        <w:shd w:val="clear" w:color="auto" w:fill="DCDCDC"/>
      </w:tcPr>
    </w:tblStylePr>
    <w:tblStylePr w:type="band2Horz">
      <w:tblPr/>
      <w:tcPr>
        <w:shd w:val="clear" w:color="auto" w:fill="F3F4F4"/>
      </w:tcPr>
    </w:tblStylePr>
  </w:style>
  <w:style w:type="paragraph" w:customStyle="1" w:styleId="ImpressumberschriftEbene1">
    <w:name w:val="Impressum Überschrift Ebene 1"/>
    <w:basedOn w:val="Impressumallg"/>
    <w:uiPriority w:val="6"/>
    <w:qFormat/>
    <w:rsid w:val="003425FD"/>
    <w:pPr>
      <w:outlineLvl w:val="0"/>
    </w:pPr>
    <w:rPr>
      <w:b/>
    </w:rPr>
  </w:style>
  <w:style w:type="paragraph" w:customStyle="1" w:styleId="berschrift118pt">
    <w:name w:val="Überschrift 1 18pt"/>
    <w:aliases w:val="ÜS 1 18pt"/>
    <w:basedOn w:val="berschrift1"/>
    <w:next w:val="FlietextEinleitung"/>
    <w:qFormat/>
    <w:rsid w:val="00B466A5"/>
    <w:pPr>
      <w:keepNext/>
      <w:numPr>
        <w:numId w:val="7"/>
      </w:numPr>
      <w:spacing w:before="360" w:after="90" w:line="360" w:lineRule="exact"/>
    </w:pPr>
    <w:rPr>
      <w:sz w:val="36"/>
    </w:rPr>
  </w:style>
  <w:style w:type="paragraph" w:customStyle="1" w:styleId="berschrift138pt">
    <w:name w:val="Überschrift 1 38pt"/>
    <w:aliases w:val="ÜS 1 38pt"/>
    <w:basedOn w:val="berschrift118pt"/>
    <w:next w:val="FlietextEinleitung"/>
    <w:rsid w:val="00DD35CF"/>
    <w:pPr>
      <w:spacing w:line="240" w:lineRule="auto"/>
      <w:ind w:left="1587" w:hanging="907"/>
    </w:pPr>
    <w:rPr>
      <w:sz w:val="76"/>
    </w:rPr>
  </w:style>
  <w:style w:type="paragraph" w:customStyle="1" w:styleId="1Aufzhlung">
    <w:name w:val="1. Aufzählung"/>
    <w:basedOn w:val="Flietext"/>
    <w:next w:val="Flietext"/>
    <w:uiPriority w:val="3"/>
    <w:qFormat/>
    <w:rsid w:val="00B466A5"/>
    <w:pPr>
      <w:numPr>
        <w:numId w:val="6"/>
      </w:numPr>
    </w:pPr>
  </w:style>
  <w:style w:type="table" w:styleId="MittlereListe2-Akzent1">
    <w:name w:val="Medium List 2 Accent 1"/>
    <w:basedOn w:val="NormaleTabelle"/>
    <w:uiPriority w:val="66"/>
    <w:rsid w:val="004E6D9D"/>
    <w:rPr>
      <w:rFonts w:asciiTheme="majorHAnsi" w:eastAsiaTheme="majorEastAsia" w:hAnsiTheme="majorHAnsi" w:cstheme="majorBidi"/>
      <w:color w:val="000000" w:themeColor="text1"/>
      <w:sz w:val="22"/>
      <w:szCs w:val="22"/>
      <w:lang w:val="de-DE"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berschrift9Zchn">
    <w:name w:val="Überschrift 9 Zchn"/>
    <w:aliases w:val="Alt-Überschrift 9 Zchn"/>
    <w:basedOn w:val="Absatz-Standardschriftart"/>
    <w:link w:val="berschrift9"/>
    <w:rsid w:val="00723B9B"/>
    <w:rPr>
      <w:rFonts w:ascii="Times New Roman" w:eastAsia="Times New Roman" w:hAnsi="Times New Roman"/>
      <w:b/>
      <w:i/>
      <w:sz w:val="24"/>
      <w:szCs w:val="22"/>
      <w:lang w:val="en-GB" w:eastAsia="de-AT"/>
    </w:rPr>
  </w:style>
  <w:style w:type="numbering" w:customStyle="1" w:styleId="KeineListe1">
    <w:name w:val="Keine Liste1"/>
    <w:next w:val="KeineListe"/>
    <w:uiPriority w:val="99"/>
    <w:semiHidden/>
    <w:unhideWhenUsed/>
    <w:rsid w:val="00723B9B"/>
  </w:style>
  <w:style w:type="table" w:customStyle="1" w:styleId="Tabellenraster1">
    <w:name w:val="Tabellenraster1"/>
    <w:basedOn w:val="NormaleTabelle"/>
    <w:next w:val="Tabellenraster"/>
    <w:uiPriority w:val="59"/>
    <w:rsid w:val="00723B9B"/>
    <w:rPr>
      <w:rFonts w:ascii="Times New Roman" w:eastAsia="Times New Roman" w:hAnsi="Times New Roman"/>
      <w:sz w:val="24"/>
      <w:szCs w:val="24"/>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infacheTabelle41">
    <w:name w:val="Einfache Tabelle 41"/>
    <w:basedOn w:val="NormaleTabelle"/>
    <w:uiPriority w:val="44"/>
    <w:rsid w:val="00723B9B"/>
    <w:rPr>
      <w:rFonts w:ascii="Times New Roman" w:eastAsia="Times New Roman" w:hAnsi="Times New Roman"/>
      <w:lang w:eastAsia="de-AT"/>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Formatvorlage2">
    <w:name w:val="Formatvorlage2"/>
    <w:basedOn w:val="Standard"/>
    <w:qFormat/>
    <w:rsid w:val="00723B9B"/>
    <w:pPr>
      <w:numPr>
        <w:numId w:val="10"/>
      </w:numPr>
      <w:spacing w:before="270" w:after="135" w:line="276" w:lineRule="auto"/>
      <w:ind w:left="890" w:hanging="170"/>
    </w:pPr>
    <w:rPr>
      <w:rFonts w:eastAsia="Times New Roman"/>
      <w:color w:val="000000"/>
    </w:rPr>
  </w:style>
  <w:style w:type="paragraph" w:customStyle="1" w:styleId="Formatvorlage3">
    <w:name w:val="Formatvorlage3"/>
    <w:basedOn w:val="Standard"/>
    <w:qFormat/>
    <w:rsid w:val="00723B9B"/>
    <w:pPr>
      <w:tabs>
        <w:tab w:val="num" w:pos="720"/>
      </w:tabs>
      <w:spacing w:before="270" w:after="135" w:line="276" w:lineRule="auto"/>
      <w:ind w:left="890" w:hanging="170"/>
    </w:pPr>
    <w:rPr>
      <w:rFonts w:eastAsia="Times New Roman"/>
      <w:color w:val="000000"/>
    </w:rPr>
  </w:style>
  <w:style w:type="paragraph" w:customStyle="1" w:styleId="Formatvorlage4">
    <w:name w:val="Formatvorlage4"/>
    <w:basedOn w:val="Standard"/>
    <w:qFormat/>
    <w:rsid w:val="00723B9B"/>
    <w:pPr>
      <w:tabs>
        <w:tab w:val="num" w:pos="720"/>
      </w:tabs>
      <w:spacing w:before="270" w:after="135" w:line="276" w:lineRule="auto"/>
      <w:ind w:left="890" w:hanging="170"/>
    </w:pPr>
    <w:rPr>
      <w:rFonts w:eastAsia="Times New Roman"/>
      <w:color w:val="000000"/>
    </w:rPr>
  </w:style>
  <w:style w:type="paragraph" w:customStyle="1" w:styleId="Formatvorlage5">
    <w:name w:val="Formatvorlage5"/>
    <w:basedOn w:val="Standard"/>
    <w:autoRedefine/>
    <w:qFormat/>
    <w:rsid w:val="00723B9B"/>
    <w:pPr>
      <w:tabs>
        <w:tab w:val="num" w:pos="720"/>
      </w:tabs>
      <w:spacing w:before="270" w:after="135" w:line="276" w:lineRule="auto"/>
      <w:ind w:left="879" w:hanging="170"/>
    </w:pPr>
    <w:rPr>
      <w:rFonts w:eastAsia="@Arial Unicode MS"/>
      <w:color w:val="000000"/>
    </w:rPr>
  </w:style>
  <w:style w:type="paragraph" w:styleId="Standardeinzug">
    <w:name w:val="Normal Indent"/>
    <w:basedOn w:val="Standard"/>
    <w:rsid w:val="00723B9B"/>
    <w:pPr>
      <w:tabs>
        <w:tab w:val="left" w:pos="360"/>
        <w:tab w:val="left" w:pos="720"/>
        <w:tab w:val="left" w:pos="1080"/>
      </w:tabs>
      <w:ind w:firstLine="360"/>
      <w:jc w:val="both"/>
    </w:pPr>
    <w:rPr>
      <w:rFonts w:eastAsia="Times New Roman"/>
      <w:snapToGrid w:val="0"/>
      <w:sz w:val="20"/>
      <w:szCs w:val="20"/>
      <w:lang w:val="en-US" w:eastAsia="en-US"/>
    </w:rPr>
  </w:style>
  <w:style w:type="paragraph" w:styleId="berarbeitung">
    <w:name w:val="Revision"/>
    <w:hidden/>
    <w:uiPriority w:val="99"/>
    <w:semiHidden/>
    <w:rsid w:val="00723B9B"/>
    <w:rPr>
      <w:rFonts w:ascii="Times New Roman" w:eastAsia="Times New Roman" w:hAnsi="Times New Roman"/>
      <w:sz w:val="24"/>
      <w:szCs w:val="22"/>
      <w:lang w:val="en-GB" w:eastAsia="de-AT"/>
    </w:rPr>
  </w:style>
  <w:style w:type="table" w:customStyle="1" w:styleId="bmlfuweinfach1">
    <w:name w:val="bmlfuw_einfach1"/>
    <w:basedOn w:val="Tabellenraster"/>
    <w:uiPriority w:val="99"/>
    <w:rsid w:val="00723B9B"/>
    <w:pPr>
      <w:jc w:val="right"/>
    </w:pPr>
    <w:rPr>
      <w:rFonts w:eastAsia="Times New Roman" w:cs="Times New Roman"/>
      <w:sz w:val="21"/>
    </w:rPr>
    <w:tblPr>
      <w:jc w:val="right"/>
      <w:tblBorders>
        <w:top w:val="none" w:sz="0" w:space="0" w:color="auto"/>
        <w:left w:val="none" w:sz="0" w:space="0" w:color="auto"/>
        <w:bottom w:val="none" w:sz="0" w:space="0" w:color="auto"/>
        <w:right w:val="none" w:sz="0" w:space="0" w:color="auto"/>
        <w:insideH w:val="single" w:sz="2" w:space="0" w:color="auto"/>
        <w:insideV w:val="single" w:sz="2" w:space="0" w:color="auto"/>
      </w:tblBorders>
    </w:tblPr>
    <w:trPr>
      <w:jc w:val="right"/>
    </w:trPr>
    <w:tcPr>
      <w:vAlign w:val="center"/>
    </w:tcPr>
    <w:tblStylePr w:type="firstRow">
      <w:pPr>
        <w:jc w:val="right"/>
      </w:pPr>
      <w:rPr>
        <w:rFonts w:ascii="Times New Roman" w:hAnsi="Times New Roman"/>
        <w:b/>
        <w:color w:val="2869A1"/>
        <w:sz w:val="21"/>
      </w:rPr>
    </w:tblStylePr>
    <w:tblStylePr w:type="firstCol">
      <w:pPr>
        <w:jc w:val="left"/>
      </w:pPr>
      <w:rPr>
        <w:rFonts w:ascii="Times New Roman" w:hAnsi="Times New Roman"/>
        <w:b/>
        <w:color w:val="2869A1"/>
        <w:sz w:val="21"/>
      </w:rPr>
      <w:tblPr/>
      <w:tcPr>
        <w:vAlign w:val="center"/>
      </w:tcPr>
    </w:tblStylePr>
    <w:tblStylePr w:type="nwCell">
      <w:pPr>
        <w:jc w:val="left"/>
      </w:pPr>
      <w:rPr>
        <w:rFonts w:ascii="Times New Roman" w:hAnsi="Times New Roman"/>
        <w:b/>
        <w:color w:val="2869A1"/>
        <w:sz w:val="21"/>
      </w:rPr>
    </w:tblStylePr>
  </w:style>
  <w:style w:type="paragraph" w:customStyle="1" w:styleId="Formatvorlage1">
    <w:name w:val="Formatvorlage1"/>
    <w:basedOn w:val="Standard"/>
    <w:autoRedefine/>
    <w:rsid w:val="00723B9B"/>
    <w:pPr>
      <w:tabs>
        <w:tab w:val="right" w:pos="10206"/>
      </w:tabs>
      <w:spacing w:before="100" w:beforeAutospacing="1"/>
      <w:ind w:left="709" w:firstLine="7088"/>
    </w:pPr>
    <w:rPr>
      <w:rFonts w:ascii="Arial" w:eastAsia="Times New Roman" w:hAnsi="Arial" w:cs="Arial"/>
      <w:b/>
      <w:i/>
      <w:sz w:val="48"/>
      <w:szCs w:val="24"/>
      <w:lang w:val="en-GB" w:eastAsia="de-DE"/>
    </w:rPr>
  </w:style>
  <w:style w:type="numbering" w:customStyle="1" w:styleId="Aufzhlung11">
    <w:name w:val="Aufzählung11"/>
    <w:uiPriority w:val="99"/>
    <w:rsid w:val="00723B9B"/>
  </w:style>
  <w:style w:type="table" w:customStyle="1" w:styleId="bmlfuwwow1">
    <w:name w:val="bmlfuw_wow1"/>
    <w:basedOn w:val="NormaleTabelle"/>
    <w:uiPriority w:val="99"/>
    <w:rsid w:val="00723B9B"/>
    <w:pPr>
      <w:jc w:val="right"/>
    </w:pPr>
    <w:rPr>
      <w:rFonts w:ascii="Times New Roman" w:eastAsia="Times New Roman" w:hAnsi="Times New Roman"/>
      <w:sz w:val="21"/>
    </w:rPr>
    <w:tblPr>
      <w:tblStyleRowBandSize w:val="1"/>
      <w:tblBorders>
        <w:insideH w:val="single" w:sz="2" w:space="0" w:color="FFFFFF"/>
      </w:tblBorders>
    </w:tblPr>
    <w:tcPr>
      <w:shd w:val="clear" w:color="auto" w:fill="E8E8E6"/>
      <w:vAlign w:val="center"/>
    </w:tcPr>
    <w:tblStylePr w:type="firstRow">
      <w:rPr>
        <w:rFonts w:ascii="Times New Roman" w:hAnsi="Times New Roman"/>
        <w:b/>
        <w:color w:val="2869A1"/>
        <w:sz w:val="21"/>
      </w:rPr>
      <w:tblPr/>
      <w:tcPr>
        <w:shd w:val="clear" w:color="auto" w:fill="F3F4F4"/>
      </w:tcPr>
    </w:tblStylePr>
    <w:tblStylePr w:type="firstCol">
      <w:pPr>
        <w:jc w:val="left"/>
      </w:pPr>
      <w:rPr>
        <w:rFonts w:ascii="Times New Roman" w:hAnsi="Times New Roman"/>
        <w:b/>
        <w:color w:val="2869A1"/>
        <w:sz w:val="21"/>
      </w:rPr>
    </w:tblStylePr>
    <w:tblStylePr w:type="band1Horz">
      <w:tblPr/>
      <w:tcPr>
        <w:shd w:val="clear" w:color="auto" w:fill="DCDCDC"/>
      </w:tcPr>
    </w:tblStylePr>
    <w:tblStylePr w:type="band2Horz">
      <w:tblPr/>
      <w:tcPr>
        <w:shd w:val="clear" w:color="auto" w:fill="F3F4F4"/>
      </w:tcPr>
    </w:tblStylePr>
  </w:style>
  <w:style w:type="table" w:customStyle="1" w:styleId="HelleSchattierung1">
    <w:name w:val="Helle Schattierung1"/>
    <w:basedOn w:val="NormaleTabelle"/>
    <w:next w:val="HelleSchattierung"/>
    <w:uiPriority w:val="60"/>
    <w:rsid w:val="00723B9B"/>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HelleSchattierung-Akzent11">
    <w:name w:val="Helle Schattierung - Akzent 11"/>
    <w:basedOn w:val="NormaleTabelle"/>
    <w:next w:val="HelleSchattierung-Akzent1"/>
    <w:uiPriority w:val="60"/>
    <w:rsid w:val="00723B9B"/>
    <w:rPr>
      <w:rFonts w:eastAsia="Times New Roman"/>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MittlereListe11">
    <w:name w:val="Mittlere Liste 11"/>
    <w:basedOn w:val="NormaleTabelle"/>
    <w:next w:val="MittlereListe1"/>
    <w:uiPriority w:val="65"/>
    <w:rsid w:val="00723B9B"/>
    <w:rPr>
      <w:rFonts w:eastAsia="Times New Roman"/>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ittlereListe1-Akzent11">
    <w:name w:val="Mittlere Liste 1 - Akzent 11"/>
    <w:basedOn w:val="NormaleTabelle"/>
    <w:next w:val="MittlereListe1-Akzent1"/>
    <w:uiPriority w:val="65"/>
    <w:rsid w:val="00723B9B"/>
    <w:rPr>
      <w:rFonts w:eastAsia="Times New Roman"/>
      <w:color w:val="000000"/>
    </w:rPr>
    <w:tblPr>
      <w:tblStyleRowBandSize w:val="1"/>
      <w:tblStyleColBandSize w:val="1"/>
      <w:tblBorders>
        <w:top w:val="single" w:sz="8" w:space="0" w:color="5B9BD5"/>
        <w:bottom w:val="single" w:sz="8" w:space="0" w:color="5B9BD5"/>
      </w:tblBorders>
    </w:tblPr>
    <w:tblStylePr w:type="firstRow">
      <w:rPr>
        <w:rFonts w:ascii="Calibri Light" w:eastAsia="Times New Roman" w:hAnsi="Calibri Ligh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MittlereListe1-Akzent21">
    <w:name w:val="Mittlere Liste 1 - Akzent 21"/>
    <w:basedOn w:val="NormaleTabelle"/>
    <w:next w:val="MittlereListe1-Akzent2"/>
    <w:uiPriority w:val="65"/>
    <w:rsid w:val="00723B9B"/>
    <w:rPr>
      <w:rFonts w:ascii="Times New Roman" w:eastAsia="Times New Roman" w:hAnsi="Times New Roman"/>
      <w:color w:val="000000"/>
      <w:sz w:val="24"/>
      <w:szCs w:val="24"/>
      <w:lang w:val="de-DE" w:eastAsia="de-DE"/>
    </w:rPr>
    <w:tblPr>
      <w:tblStyleRowBandSize w:val="1"/>
      <w:tblStyleColBandSize w:val="1"/>
      <w:tblBorders>
        <w:top w:val="single" w:sz="8" w:space="0" w:color="ED7D31"/>
        <w:bottom w:val="single" w:sz="8" w:space="0" w:color="ED7D31"/>
      </w:tblBorders>
    </w:tblPr>
    <w:tblStylePr w:type="firstRow">
      <w:rPr>
        <w:rFonts w:ascii="Calibri Light" w:eastAsia="Times New Roman" w:hAnsi="Calibri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numbering" w:customStyle="1" w:styleId="KeineListe2">
    <w:name w:val="Keine Liste2"/>
    <w:next w:val="KeineListe"/>
    <w:uiPriority w:val="99"/>
    <w:semiHidden/>
    <w:unhideWhenUsed/>
    <w:rsid w:val="00723B9B"/>
  </w:style>
  <w:style w:type="table" w:customStyle="1" w:styleId="Tabellenraster2">
    <w:name w:val="Tabellenraster2"/>
    <w:basedOn w:val="NormaleTabelle"/>
    <w:next w:val="Tabellenraster"/>
    <w:uiPriority w:val="59"/>
    <w:rsid w:val="00723B9B"/>
    <w:rPr>
      <w:rFonts w:ascii="Times New Roman" w:eastAsia="Times New Roman" w:hAnsi="Times New Roman"/>
      <w:sz w:val="24"/>
      <w:szCs w:val="24"/>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mlfuweinfach2">
    <w:name w:val="bmlfuw_einfach2"/>
    <w:basedOn w:val="Tabellenraster"/>
    <w:uiPriority w:val="99"/>
    <w:rsid w:val="00723B9B"/>
    <w:pPr>
      <w:jc w:val="right"/>
    </w:pPr>
    <w:rPr>
      <w:rFonts w:eastAsia="Times New Roman" w:cs="Times New Roman"/>
      <w:sz w:val="21"/>
    </w:rPr>
    <w:tblPr>
      <w:jc w:val="right"/>
      <w:tblBorders>
        <w:top w:val="none" w:sz="0" w:space="0" w:color="auto"/>
        <w:left w:val="none" w:sz="0" w:space="0" w:color="auto"/>
        <w:bottom w:val="none" w:sz="0" w:space="0" w:color="auto"/>
        <w:right w:val="none" w:sz="0" w:space="0" w:color="auto"/>
        <w:insideH w:val="single" w:sz="2" w:space="0" w:color="auto"/>
        <w:insideV w:val="single" w:sz="2" w:space="0" w:color="auto"/>
      </w:tblBorders>
    </w:tblPr>
    <w:trPr>
      <w:jc w:val="right"/>
    </w:trPr>
    <w:tcPr>
      <w:vAlign w:val="center"/>
    </w:tcPr>
    <w:tblStylePr w:type="firstRow">
      <w:pPr>
        <w:jc w:val="right"/>
      </w:pPr>
      <w:rPr>
        <w:rFonts w:ascii="Times New Roman" w:hAnsi="Times New Roman"/>
        <w:b/>
        <w:color w:val="2869A1"/>
        <w:sz w:val="21"/>
      </w:rPr>
    </w:tblStylePr>
    <w:tblStylePr w:type="firstCol">
      <w:pPr>
        <w:jc w:val="left"/>
      </w:pPr>
      <w:rPr>
        <w:rFonts w:ascii="Times New Roman" w:hAnsi="Times New Roman"/>
        <w:b/>
        <w:color w:val="2869A1"/>
        <w:sz w:val="21"/>
      </w:rPr>
      <w:tblPr/>
      <w:tcPr>
        <w:vAlign w:val="center"/>
      </w:tcPr>
    </w:tblStylePr>
    <w:tblStylePr w:type="nwCell">
      <w:pPr>
        <w:jc w:val="left"/>
      </w:pPr>
      <w:rPr>
        <w:rFonts w:ascii="Times New Roman" w:hAnsi="Times New Roman"/>
        <w:b/>
        <w:color w:val="2869A1"/>
        <w:sz w:val="21"/>
      </w:rPr>
    </w:tblStylePr>
  </w:style>
  <w:style w:type="numbering" w:customStyle="1" w:styleId="Aufzhlung12">
    <w:name w:val="Aufzählung12"/>
    <w:uiPriority w:val="99"/>
    <w:rsid w:val="00723B9B"/>
  </w:style>
  <w:style w:type="table" w:customStyle="1" w:styleId="bmlfuwwow2">
    <w:name w:val="bmlfuw_wow2"/>
    <w:basedOn w:val="NormaleTabelle"/>
    <w:uiPriority w:val="99"/>
    <w:rsid w:val="00723B9B"/>
    <w:pPr>
      <w:jc w:val="right"/>
    </w:pPr>
    <w:rPr>
      <w:rFonts w:ascii="Times New Roman" w:eastAsia="Times New Roman" w:hAnsi="Times New Roman"/>
      <w:sz w:val="21"/>
    </w:rPr>
    <w:tblPr>
      <w:tblStyleRowBandSize w:val="1"/>
      <w:tblBorders>
        <w:insideH w:val="single" w:sz="2" w:space="0" w:color="FFFFFF"/>
      </w:tblBorders>
    </w:tblPr>
    <w:tcPr>
      <w:shd w:val="clear" w:color="auto" w:fill="E8E8E6"/>
      <w:vAlign w:val="center"/>
    </w:tcPr>
    <w:tblStylePr w:type="firstRow">
      <w:rPr>
        <w:rFonts w:ascii="Times New Roman" w:hAnsi="Times New Roman"/>
        <w:b/>
        <w:color w:val="2869A1"/>
        <w:sz w:val="21"/>
      </w:rPr>
      <w:tblPr/>
      <w:tcPr>
        <w:shd w:val="clear" w:color="auto" w:fill="F3F4F4"/>
      </w:tcPr>
    </w:tblStylePr>
    <w:tblStylePr w:type="firstCol">
      <w:pPr>
        <w:jc w:val="left"/>
      </w:pPr>
      <w:rPr>
        <w:rFonts w:ascii="Times New Roman" w:hAnsi="Times New Roman"/>
        <w:b/>
        <w:color w:val="2869A1"/>
        <w:sz w:val="21"/>
      </w:rPr>
    </w:tblStylePr>
    <w:tblStylePr w:type="band1Horz">
      <w:tblPr/>
      <w:tcPr>
        <w:shd w:val="clear" w:color="auto" w:fill="DCDCDC"/>
      </w:tcPr>
    </w:tblStylePr>
    <w:tblStylePr w:type="band2Horz">
      <w:tblPr/>
      <w:tcPr>
        <w:shd w:val="clear" w:color="auto" w:fill="F3F4F4"/>
      </w:tcPr>
    </w:tblStylePr>
  </w:style>
  <w:style w:type="table" w:customStyle="1" w:styleId="HelleSchattierung2">
    <w:name w:val="Helle Schattierung2"/>
    <w:basedOn w:val="NormaleTabelle"/>
    <w:next w:val="HelleSchattierung"/>
    <w:uiPriority w:val="60"/>
    <w:rsid w:val="00723B9B"/>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HelleSchattierung-Akzent12">
    <w:name w:val="Helle Schattierung - Akzent 12"/>
    <w:basedOn w:val="NormaleTabelle"/>
    <w:next w:val="HelleSchattierung-Akzent1"/>
    <w:uiPriority w:val="60"/>
    <w:rsid w:val="00723B9B"/>
    <w:rPr>
      <w:rFonts w:eastAsia="Times New Roman"/>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MittlereListe12">
    <w:name w:val="Mittlere Liste 12"/>
    <w:basedOn w:val="NormaleTabelle"/>
    <w:next w:val="MittlereListe1"/>
    <w:uiPriority w:val="65"/>
    <w:rsid w:val="00723B9B"/>
    <w:rPr>
      <w:rFonts w:eastAsia="Times New Roman"/>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ittlereListe1-Akzent12">
    <w:name w:val="Mittlere Liste 1 - Akzent 12"/>
    <w:basedOn w:val="NormaleTabelle"/>
    <w:next w:val="MittlereListe1-Akzent1"/>
    <w:uiPriority w:val="65"/>
    <w:rsid w:val="00723B9B"/>
    <w:rPr>
      <w:rFonts w:eastAsia="Times New Roman"/>
      <w:color w:val="000000"/>
    </w:rPr>
    <w:tblPr>
      <w:tblStyleRowBandSize w:val="1"/>
      <w:tblStyleColBandSize w:val="1"/>
      <w:tblBorders>
        <w:top w:val="single" w:sz="8" w:space="0" w:color="5B9BD5"/>
        <w:bottom w:val="single" w:sz="8" w:space="0" w:color="5B9BD5"/>
      </w:tblBorders>
    </w:tblPr>
    <w:tblStylePr w:type="firstRow">
      <w:rPr>
        <w:rFonts w:ascii="Calibri Light" w:eastAsia="Times New Roman" w:hAnsi="Calibri Ligh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MittlereListe1-Akzent22">
    <w:name w:val="Mittlere Liste 1 - Akzent 22"/>
    <w:basedOn w:val="NormaleTabelle"/>
    <w:next w:val="MittlereListe1-Akzent2"/>
    <w:uiPriority w:val="65"/>
    <w:rsid w:val="00723B9B"/>
    <w:rPr>
      <w:rFonts w:ascii="Times New Roman" w:eastAsia="Times New Roman" w:hAnsi="Times New Roman"/>
      <w:color w:val="000000"/>
      <w:sz w:val="24"/>
      <w:szCs w:val="24"/>
      <w:lang w:val="de-DE" w:eastAsia="de-DE"/>
    </w:rPr>
    <w:tblPr>
      <w:tblStyleRowBandSize w:val="1"/>
      <w:tblStyleColBandSize w:val="1"/>
      <w:tblBorders>
        <w:top w:val="single" w:sz="8" w:space="0" w:color="ED7D31"/>
        <w:bottom w:val="single" w:sz="8" w:space="0" w:color="ED7D31"/>
      </w:tblBorders>
    </w:tblPr>
    <w:tblStylePr w:type="firstRow">
      <w:rPr>
        <w:rFonts w:ascii="Calibri Light" w:eastAsia="Times New Roman" w:hAnsi="Calibri Light" w:cs="Times New Roman"/>
      </w:rPr>
      <w:tblPr/>
      <w:tcPr>
        <w:tcBorders>
          <w:top w:val="nil"/>
          <w:bottom w:val="single" w:sz="8" w:space="0" w:color="ED7D31"/>
        </w:tcBorders>
      </w:tcPr>
    </w:tblStylePr>
    <w:tblStylePr w:type="lastRow">
      <w:rPr>
        <w:b/>
        <w:bCs/>
        <w:color w:val="44546A"/>
      </w:rPr>
      <w:tblPr/>
      <w:tcPr>
        <w:tcBorders>
          <w:top w:val="single" w:sz="8" w:space="0" w:color="ED7D31"/>
          <w:bottom w:val="single" w:sz="8" w:space="0" w:color="ED7D31"/>
        </w:tcBorders>
      </w:tcPr>
    </w:tblStylePr>
    <w:tblStylePr w:type="firstCol">
      <w:rPr>
        <w:b/>
        <w:bCs/>
      </w:rPr>
    </w:tblStylePr>
    <w:tblStylePr w:type="lastCol">
      <w:rPr>
        <w:b/>
        <w:bCs/>
      </w:rPr>
      <w:tblPr/>
      <w:tcPr>
        <w:tcBorders>
          <w:top w:val="single" w:sz="8" w:space="0" w:color="ED7D31"/>
          <w:bottom w:val="single" w:sz="8" w:space="0" w:color="ED7D31"/>
        </w:tcBorders>
      </w:tcPr>
    </w:tblStylePr>
    <w:tblStylePr w:type="band1Vert">
      <w:tblPr/>
      <w:tcPr>
        <w:shd w:val="clear" w:color="auto" w:fill="FADECB"/>
      </w:tcPr>
    </w:tblStylePr>
    <w:tblStylePr w:type="band1Horz">
      <w:tblPr/>
      <w:tcPr>
        <w:shd w:val="clear" w:color="auto" w:fill="FADECB"/>
      </w:tcPr>
    </w:tblStylePr>
  </w:style>
  <w:style w:type="paragraph" w:customStyle="1" w:styleId="Formatvorlage6">
    <w:name w:val="Formatvorlage6"/>
    <w:basedOn w:val="berschrift118pt"/>
    <w:uiPriority w:val="69"/>
    <w:rsid w:val="00723B9B"/>
    <w:pPr>
      <w:ind w:left="1163"/>
    </w:pPr>
  </w:style>
  <w:style w:type="paragraph" w:customStyle="1" w:styleId="Formatvorlage7">
    <w:name w:val="Formatvorlage7"/>
    <w:basedOn w:val="berschrift118pt"/>
    <w:uiPriority w:val="69"/>
    <w:qFormat/>
    <w:rsid w:val="00723B9B"/>
  </w:style>
  <w:style w:type="character" w:styleId="Kommentarzeichen">
    <w:name w:val="annotation reference"/>
    <w:rsid w:val="00723B9B"/>
    <w:rPr>
      <w:sz w:val="16"/>
      <w:szCs w:val="16"/>
    </w:rPr>
  </w:style>
  <w:style w:type="paragraph" w:styleId="Kommentartext">
    <w:name w:val="annotation text"/>
    <w:basedOn w:val="Standard"/>
    <w:link w:val="KommentartextZchn"/>
    <w:rsid w:val="00723B9B"/>
    <w:rPr>
      <w:rFonts w:ascii="MetaCorr" w:eastAsia="Times New Roman" w:hAnsi="MetaCorr"/>
      <w:sz w:val="20"/>
      <w:szCs w:val="20"/>
      <w:lang w:val="de-DE" w:eastAsia="de-DE"/>
    </w:rPr>
  </w:style>
  <w:style w:type="character" w:customStyle="1" w:styleId="KommentartextZchn">
    <w:name w:val="Kommentartext Zchn"/>
    <w:basedOn w:val="Absatz-Standardschriftart"/>
    <w:link w:val="Kommentartext"/>
    <w:rsid w:val="00723B9B"/>
    <w:rPr>
      <w:rFonts w:ascii="MetaCorr" w:eastAsia="Times New Roman" w:hAnsi="MetaCorr"/>
      <w:lang w:val="de-DE" w:eastAsia="de-DE"/>
    </w:rPr>
  </w:style>
  <w:style w:type="character" w:customStyle="1" w:styleId="st">
    <w:name w:val="st"/>
    <w:basedOn w:val="Absatz-Standardschriftart"/>
    <w:rsid w:val="00457E63"/>
  </w:style>
  <w:style w:type="paragraph" w:styleId="StandardWeb">
    <w:name w:val="Normal (Web)"/>
    <w:basedOn w:val="Standard"/>
    <w:uiPriority w:val="99"/>
    <w:semiHidden/>
    <w:unhideWhenUsed/>
    <w:rsid w:val="004428DB"/>
    <w:pPr>
      <w:spacing w:before="100" w:beforeAutospacing="1" w:after="100" w:afterAutospacing="1"/>
    </w:pPr>
    <w:rPr>
      <w:rFonts w:eastAsia="Times New Roman"/>
      <w:sz w:val="24"/>
      <w:szCs w:val="24"/>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9109836">
      <w:bodyDiv w:val="1"/>
      <w:marLeft w:val="0"/>
      <w:marRight w:val="0"/>
      <w:marTop w:val="0"/>
      <w:marBottom w:val="0"/>
      <w:divBdr>
        <w:top w:val="none" w:sz="0" w:space="0" w:color="auto"/>
        <w:left w:val="none" w:sz="0" w:space="0" w:color="auto"/>
        <w:bottom w:val="none" w:sz="0" w:space="0" w:color="auto"/>
        <w:right w:val="none" w:sz="0" w:space="0" w:color="auto"/>
      </w:divBdr>
    </w:div>
    <w:div w:id="625891765">
      <w:bodyDiv w:val="1"/>
      <w:marLeft w:val="0"/>
      <w:marRight w:val="0"/>
      <w:marTop w:val="0"/>
      <w:marBottom w:val="0"/>
      <w:divBdr>
        <w:top w:val="none" w:sz="0" w:space="0" w:color="auto"/>
        <w:left w:val="none" w:sz="0" w:space="0" w:color="auto"/>
        <w:bottom w:val="none" w:sz="0" w:space="0" w:color="auto"/>
        <w:right w:val="none" w:sz="0" w:space="0" w:color="auto"/>
      </w:divBdr>
      <w:divsChild>
        <w:div w:id="696659588">
          <w:marLeft w:val="0"/>
          <w:marRight w:val="0"/>
          <w:marTop w:val="0"/>
          <w:marBottom w:val="0"/>
          <w:divBdr>
            <w:top w:val="none" w:sz="0" w:space="0" w:color="auto"/>
            <w:left w:val="none" w:sz="0" w:space="0" w:color="auto"/>
            <w:bottom w:val="none" w:sz="0" w:space="0" w:color="auto"/>
            <w:right w:val="none" w:sz="0" w:space="0" w:color="auto"/>
          </w:divBdr>
        </w:div>
      </w:divsChild>
    </w:div>
    <w:div w:id="745765596">
      <w:bodyDiv w:val="1"/>
      <w:marLeft w:val="0"/>
      <w:marRight w:val="0"/>
      <w:marTop w:val="0"/>
      <w:marBottom w:val="0"/>
      <w:divBdr>
        <w:top w:val="none" w:sz="0" w:space="0" w:color="auto"/>
        <w:left w:val="none" w:sz="0" w:space="0" w:color="auto"/>
        <w:bottom w:val="none" w:sz="0" w:space="0" w:color="auto"/>
        <w:right w:val="none" w:sz="0" w:space="0" w:color="auto"/>
      </w:divBdr>
    </w:div>
    <w:div w:id="871959827">
      <w:bodyDiv w:val="1"/>
      <w:marLeft w:val="0"/>
      <w:marRight w:val="0"/>
      <w:marTop w:val="0"/>
      <w:marBottom w:val="0"/>
      <w:divBdr>
        <w:top w:val="none" w:sz="0" w:space="0" w:color="auto"/>
        <w:left w:val="none" w:sz="0" w:space="0" w:color="auto"/>
        <w:bottom w:val="none" w:sz="0" w:space="0" w:color="auto"/>
        <w:right w:val="none" w:sz="0" w:space="0" w:color="auto"/>
      </w:divBdr>
    </w:div>
    <w:div w:id="1110735091">
      <w:bodyDiv w:val="1"/>
      <w:marLeft w:val="0"/>
      <w:marRight w:val="0"/>
      <w:marTop w:val="0"/>
      <w:marBottom w:val="0"/>
      <w:divBdr>
        <w:top w:val="none" w:sz="0" w:space="0" w:color="auto"/>
        <w:left w:val="none" w:sz="0" w:space="0" w:color="auto"/>
        <w:bottom w:val="none" w:sz="0" w:space="0" w:color="auto"/>
        <w:right w:val="none" w:sz="0" w:space="0" w:color="auto"/>
      </w:divBdr>
    </w:div>
    <w:div w:id="1327170178">
      <w:bodyDiv w:val="1"/>
      <w:marLeft w:val="0"/>
      <w:marRight w:val="0"/>
      <w:marTop w:val="0"/>
      <w:marBottom w:val="0"/>
      <w:divBdr>
        <w:top w:val="none" w:sz="0" w:space="0" w:color="auto"/>
        <w:left w:val="none" w:sz="0" w:space="0" w:color="auto"/>
        <w:bottom w:val="none" w:sz="0" w:space="0" w:color="auto"/>
        <w:right w:val="none" w:sz="0" w:space="0" w:color="auto"/>
      </w:divBdr>
    </w:div>
    <w:div w:id="1627656722">
      <w:bodyDiv w:val="1"/>
      <w:marLeft w:val="0"/>
      <w:marRight w:val="0"/>
      <w:marTop w:val="0"/>
      <w:marBottom w:val="0"/>
      <w:divBdr>
        <w:top w:val="none" w:sz="0" w:space="0" w:color="auto"/>
        <w:left w:val="none" w:sz="0" w:space="0" w:color="auto"/>
        <w:bottom w:val="none" w:sz="0" w:space="0" w:color="auto"/>
        <w:right w:val="none" w:sz="0" w:space="0" w:color="auto"/>
      </w:divBdr>
      <w:divsChild>
        <w:div w:id="1512136840">
          <w:marLeft w:val="0"/>
          <w:marRight w:val="0"/>
          <w:marTop w:val="0"/>
          <w:marBottom w:val="0"/>
          <w:divBdr>
            <w:top w:val="none" w:sz="0" w:space="0" w:color="auto"/>
            <w:left w:val="none" w:sz="0" w:space="0" w:color="auto"/>
            <w:bottom w:val="none" w:sz="0" w:space="0" w:color="auto"/>
            <w:right w:val="none" w:sz="0" w:space="0" w:color="auto"/>
          </w:divBdr>
        </w:div>
      </w:divsChild>
    </w:div>
    <w:div w:id="207304120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117" Type="http://schemas.openxmlformats.org/officeDocument/2006/relationships/image" Target="media/image69.png"/><Relationship Id="rId21" Type="http://schemas.openxmlformats.org/officeDocument/2006/relationships/image" Target="media/image12.jpe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chart" Target="charts/chart5.xml"/><Relationship Id="rId68" Type="http://schemas.openxmlformats.org/officeDocument/2006/relationships/chart" Target="charts/chart10.xml"/><Relationship Id="rId84" Type="http://schemas.openxmlformats.org/officeDocument/2006/relationships/chart" Target="charts/chart24.xml"/><Relationship Id="rId89" Type="http://schemas.openxmlformats.org/officeDocument/2006/relationships/image" Target="media/image44.png"/><Relationship Id="rId112" Type="http://schemas.openxmlformats.org/officeDocument/2006/relationships/image" Target="media/image67.png"/><Relationship Id="rId133" Type="http://schemas.openxmlformats.org/officeDocument/2006/relationships/image" Target="media/image85.jpeg"/><Relationship Id="rId138" Type="http://schemas.openxmlformats.org/officeDocument/2006/relationships/chart" Target="charts/chart29.xml"/><Relationship Id="rId16" Type="http://schemas.openxmlformats.org/officeDocument/2006/relationships/image" Target="media/image7.jpeg"/><Relationship Id="rId107" Type="http://schemas.openxmlformats.org/officeDocument/2006/relationships/image" Target="media/image62.jpeg"/><Relationship Id="rId11" Type="http://schemas.openxmlformats.org/officeDocument/2006/relationships/image" Target="media/image2.png"/><Relationship Id="rId32" Type="http://schemas.openxmlformats.org/officeDocument/2006/relationships/image" Target="media/image14.png"/><Relationship Id="rId37" Type="http://schemas.openxmlformats.org/officeDocument/2006/relationships/image" Target="media/image19.emf"/><Relationship Id="rId53" Type="http://schemas.openxmlformats.org/officeDocument/2006/relationships/image" Target="media/image33.jpg"/><Relationship Id="rId58" Type="http://schemas.openxmlformats.org/officeDocument/2006/relationships/image" Target="media/image38.jpeg"/><Relationship Id="rId74" Type="http://schemas.openxmlformats.org/officeDocument/2006/relationships/chart" Target="charts/chart14.xml"/><Relationship Id="rId79" Type="http://schemas.openxmlformats.org/officeDocument/2006/relationships/chart" Target="charts/chart19.xml"/><Relationship Id="rId102" Type="http://schemas.openxmlformats.org/officeDocument/2006/relationships/image" Target="media/image57.png"/><Relationship Id="rId123" Type="http://schemas.openxmlformats.org/officeDocument/2006/relationships/image" Target="media/image75.jpeg"/><Relationship Id="rId128" Type="http://schemas.openxmlformats.org/officeDocument/2006/relationships/image" Target="media/image80.jpeg"/><Relationship Id="rId144" Type="http://schemas.openxmlformats.org/officeDocument/2006/relationships/header" Target="header9.xml"/><Relationship Id="rId149" Type="http://schemas.openxmlformats.org/officeDocument/2006/relationships/header" Target="header13.xml"/><Relationship Id="rId5" Type="http://schemas.openxmlformats.org/officeDocument/2006/relationships/webSettings" Target="webSettings.xml"/><Relationship Id="rId90" Type="http://schemas.openxmlformats.org/officeDocument/2006/relationships/image" Target="media/image45.png"/><Relationship Id="rId95" Type="http://schemas.openxmlformats.org/officeDocument/2006/relationships/image" Target="media/image50.png"/><Relationship Id="rId22" Type="http://schemas.openxmlformats.org/officeDocument/2006/relationships/header" Target="header3.xml"/><Relationship Id="rId27" Type="http://schemas.openxmlformats.org/officeDocument/2006/relationships/footer" Target="footer3.xml"/><Relationship Id="rId43" Type="http://schemas.openxmlformats.org/officeDocument/2006/relationships/image" Target="media/image25.jpeg"/><Relationship Id="rId48" Type="http://schemas.openxmlformats.org/officeDocument/2006/relationships/image" Target="media/image30.png"/><Relationship Id="rId64" Type="http://schemas.openxmlformats.org/officeDocument/2006/relationships/chart" Target="charts/chart6.xml"/><Relationship Id="rId69" Type="http://schemas.openxmlformats.org/officeDocument/2006/relationships/chart" Target="charts/chart11.xml"/><Relationship Id="rId113" Type="http://schemas.openxmlformats.org/officeDocument/2006/relationships/chart" Target="charts/chart26.xml"/><Relationship Id="rId118" Type="http://schemas.openxmlformats.org/officeDocument/2006/relationships/image" Target="media/image70.png"/><Relationship Id="rId134" Type="http://schemas.openxmlformats.org/officeDocument/2006/relationships/image" Target="media/image86.png"/><Relationship Id="rId139" Type="http://schemas.openxmlformats.org/officeDocument/2006/relationships/chart" Target="charts/chart30.xml"/><Relationship Id="rId80" Type="http://schemas.openxmlformats.org/officeDocument/2006/relationships/chart" Target="charts/chart20.xml"/><Relationship Id="rId85" Type="http://schemas.openxmlformats.org/officeDocument/2006/relationships/chart" Target="charts/chart25.xml"/><Relationship Id="rId150" Type="http://schemas.openxmlformats.org/officeDocument/2006/relationships/footer" Target="footer4.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0.jpg"/><Relationship Id="rId33" Type="http://schemas.openxmlformats.org/officeDocument/2006/relationships/image" Target="media/image15.pn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chart" Target="charts/chart1.xml"/><Relationship Id="rId67" Type="http://schemas.openxmlformats.org/officeDocument/2006/relationships/chart" Target="charts/chart9.xml"/><Relationship Id="rId103" Type="http://schemas.openxmlformats.org/officeDocument/2006/relationships/image" Target="media/image58.png"/><Relationship Id="rId108" Type="http://schemas.openxmlformats.org/officeDocument/2006/relationships/image" Target="media/image63.jpeg"/><Relationship Id="rId116" Type="http://schemas.openxmlformats.org/officeDocument/2006/relationships/image" Target="media/image68.png"/><Relationship Id="rId124" Type="http://schemas.openxmlformats.org/officeDocument/2006/relationships/image" Target="media/image76.png"/><Relationship Id="rId129" Type="http://schemas.openxmlformats.org/officeDocument/2006/relationships/image" Target="media/image81.png"/><Relationship Id="rId137" Type="http://schemas.openxmlformats.org/officeDocument/2006/relationships/image" Target="media/image89.emf"/><Relationship Id="rId20" Type="http://schemas.openxmlformats.org/officeDocument/2006/relationships/image" Target="media/image11.jpeg"/><Relationship Id="rId41" Type="http://schemas.openxmlformats.org/officeDocument/2006/relationships/image" Target="media/image23.jpeg"/><Relationship Id="rId54" Type="http://schemas.openxmlformats.org/officeDocument/2006/relationships/image" Target="media/image34.jpeg"/><Relationship Id="rId62" Type="http://schemas.openxmlformats.org/officeDocument/2006/relationships/chart" Target="charts/chart4.xml"/><Relationship Id="rId70" Type="http://schemas.openxmlformats.org/officeDocument/2006/relationships/chart" Target="charts/chart12.xml"/><Relationship Id="rId75" Type="http://schemas.openxmlformats.org/officeDocument/2006/relationships/chart" Target="charts/chart15.xml"/><Relationship Id="rId83" Type="http://schemas.openxmlformats.org/officeDocument/2006/relationships/chart" Target="charts/chart23.xml"/><Relationship Id="rId88" Type="http://schemas.openxmlformats.org/officeDocument/2006/relationships/image" Target="media/image43.png"/><Relationship Id="rId91" Type="http://schemas.openxmlformats.org/officeDocument/2006/relationships/image" Target="media/image46.emf"/><Relationship Id="rId96" Type="http://schemas.openxmlformats.org/officeDocument/2006/relationships/image" Target="media/image51.png"/><Relationship Id="rId111" Type="http://schemas.openxmlformats.org/officeDocument/2006/relationships/image" Target="media/image66.png"/><Relationship Id="rId132" Type="http://schemas.openxmlformats.org/officeDocument/2006/relationships/image" Target="media/image84.png"/><Relationship Id="rId140" Type="http://schemas.openxmlformats.org/officeDocument/2006/relationships/image" Target="media/image90.jpeg"/><Relationship Id="rId145"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footer" Target="footer2.xml"/><Relationship Id="rId28" Type="http://schemas.openxmlformats.org/officeDocument/2006/relationships/image" Target="media/image11.png"/><Relationship Id="rId36" Type="http://schemas.openxmlformats.org/officeDocument/2006/relationships/image" Target="media/image18.emf"/><Relationship Id="rId49" Type="http://schemas.openxmlformats.org/officeDocument/2006/relationships/image" Target="media/image31.png"/><Relationship Id="rId57" Type="http://schemas.openxmlformats.org/officeDocument/2006/relationships/image" Target="media/image37.jpeg"/><Relationship Id="rId106" Type="http://schemas.openxmlformats.org/officeDocument/2006/relationships/image" Target="media/image61.png"/><Relationship Id="rId114" Type="http://schemas.openxmlformats.org/officeDocument/2006/relationships/chart" Target="charts/chart27.xml"/><Relationship Id="rId119" Type="http://schemas.openxmlformats.org/officeDocument/2006/relationships/image" Target="media/image71.png"/><Relationship Id="rId127" Type="http://schemas.openxmlformats.org/officeDocument/2006/relationships/image" Target="media/image79.jpeg"/><Relationship Id="rId10" Type="http://schemas.openxmlformats.org/officeDocument/2006/relationships/header" Target="header2.xml"/><Relationship Id="rId31" Type="http://schemas.openxmlformats.org/officeDocument/2006/relationships/image" Target="media/image13.png"/><Relationship Id="rId44" Type="http://schemas.openxmlformats.org/officeDocument/2006/relationships/image" Target="media/image26.jpg"/><Relationship Id="rId52" Type="http://schemas.openxmlformats.org/officeDocument/2006/relationships/header" Target="header7.xml"/><Relationship Id="rId60" Type="http://schemas.openxmlformats.org/officeDocument/2006/relationships/chart" Target="charts/chart2.xml"/><Relationship Id="rId65" Type="http://schemas.openxmlformats.org/officeDocument/2006/relationships/chart" Target="charts/chart7.xml"/><Relationship Id="rId73" Type="http://schemas.openxmlformats.org/officeDocument/2006/relationships/image" Target="media/image40.jpg"/><Relationship Id="rId78" Type="http://schemas.openxmlformats.org/officeDocument/2006/relationships/chart" Target="charts/chart18.xml"/><Relationship Id="rId81" Type="http://schemas.openxmlformats.org/officeDocument/2006/relationships/chart" Target="charts/chart21.xml"/><Relationship Id="rId86" Type="http://schemas.openxmlformats.org/officeDocument/2006/relationships/image" Target="media/image41.jpeg"/><Relationship Id="rId94" Type="http://schemas.openxmlformats.org/officeDocument/2006/relationships/image" Target="media/image49.jpeg"/><Relationship Id="rId99" Type="http://schemas.openxmlformats.org/officeDocument/2006/relationships/image" Target="media/image54.png"/><Relationship Id="rId101" Type="http://schemas.openxmlformats.org/officeDocument/2006/relationships/image" Target="media/image56.png"/><Relationship Id="rId122" Type="http://schemas.openxmlformats.org/officeDocument/2006/relationships/image" Target="media/image74.png"/><Relationship Id="rId130" Type="http://schemas.openxmlformats.org/officeDocument/2006/relationships/image" Target="media/image82.png"/><Relationship Id="rId135" Type="http://schemas.openxmlformats.org/officeDocument/2006/relationships/image" Target="media/image87.jpeg"/><Relationship Id="rId143" Type="http://schemas.openxmlformats.org/officeDocument/2006/relationships/header" Target="header8.xml"/><Relationship Id="rId148" Type="http://schemas.openxmlformats.org/officeDocument/2006/relationships/header" Target="header12.xml"/><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emf"/><Relationship Id="rId18" Type="http://schemas.openxmlformats.org/officeDocument/2006/relationships/image" Target="media/image9.jpeg"/><Relationship Id="rId39" Type="http://schemas.openxmlformats.org/officeDocument/2006/relationships/image" Target="media/image21.jpeg"/><Relationship Id="rId109" Type="http://schemas.openxmlformats.org/officeDocument/2006/relationships/image" Target="media/image64.jpeg"/><Relationship Id="rId34" Type="http://schemas.openxmlformats.org/officeDocument/2006/relationships/image" Target="media/image16.png"/><Relationship Id="rId50" Type="http://schemas.openxmlformats.org/officeDocument/2006/relationships/image" Target="media/image32.jpeg"/><Relationship Id="rId55" Type="http://schemas.openxmlformats.org/officeDocument/2006/relationships/image" Target="media/image35.jpeg"/><Relationship Id="rId76" Type="http://schemas.openxmlformats.org/officeDocument/2006/relationships/chart" Target="charts/chart16.xml"/><Relationship Id="rId97" Type="http://schemas.openxmlformats.org/officeDocument/2006/relationships/image" Target="media/image52.png"/><Relationship Id="rId104" Type="http://schemas.openxmlformats.org/officeDocument/2006/relationships/image" Target="media/image59.png"/><Relationship Id="rId120" Type="http://schemas.openxmlformats.org/officeDocument/2006/relationships/image" Target="media/image72.emf"/><Relationship Id="rId125" Type="http://schemas.openxmlformats.org/officeDocument/2006/relationships/image" Target="media/image77.jpeg"/><Relationship Id="rId141" Type="http://schemas.openxmlformats.org/officeDocument/2006/relationships/image" Target="media/image91.jpeg"/><Relationship Id="rId146" Type="http://schemas.openxmlformats.org/officeDocument/2006/relationships/hyperlink" Target="http://en.wikipedia.org/wiki/Agriotes_lineatus" TargetMode="External"/><Relationship Id="rId7" Type="http://schemas.openxmlformats.org/officeDocument/2006/relationships/endnotes" Target="endnotes.xml"/><Relationship Id="rId71" Type="http://schemas.openxmlformats.org/officeDocument/2006/relationships/chart" Target="charts/chart13.xml"/><Relationship Id="rId92" Type="http://schemas.openxmlformats.org/officeDocument/2006/relationships/image" Target="media/image47.png"/><Relationship Id="rId2" Type="http://schemas.openxmlformats.org/officeDocument/2006/relationships/numbering" Target="numbering.xml"/><Relationship Id="rId29" Type="http://schemas.openxmlformats.org/officeDocument/2006/relationships/header" Target="header5.xml"/><Relationship Id="rId24" Type="http://schemas.openxmlformats.org/officeDocument/2006/relationships/hyperlink" Target="mailto:daniel.fuchs@biohelp.at" TargetMode="External"/><Relationship Id="rId40" Type="http://schemas.openxmlformats.org/officeDocument/2006/relationships/image" Target="media/image22.jpeg"/><Relationship Id="rId45" Type="http://schemas.openxmlformats.org/officeDocument/2006/relationships/image" Target="media/image27.jpg"/><Relationship Id="rId66" Type="http://schemas.openxmlformats.org/officeDocument/2006/relationships/chart" Target="charts/chart8.xml"/><Relationship Id="rId87" Type="http://schemas.openxmlformats.org/officeDocument/2006/relationships/image" Target="media/image42.png"/><Relationship Id="rId110" Type="http://schemas.openxmlformats.org/officeDocument/2006/relationships/image" Target="media/image65.jpeg"/><Relationship Id="rId115" Type="http://schemas.openxmlformats.org/officeDocument/2006/relationships/chart" Target="charts/chart28.xml"/><Relationship Id="rId131" Type="http://schemas.openxmlformats.org/officeDocument/2006/relationships/image" Target="media/image83.png"/><Relationship Id="rId136" Type="http://schemas.openxmlformats.org/officeDocument/2006/relationships/image" Target="media/image88.png"/><Relationship Id="rId61" Type="http://schemas.openxmlformats.org/officeDocument/2006/relationships/chart" Target="charts/chart3.xml"/><Relationship Id="rId82" Type="http://schemas.openxmlformats.org/officeDocument/2006/relationships/chart" Target="charts/chart22.xml"/><Relationship Id="rId152"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12.png"/><Relationship Id="rId35" Type="http://schemas.openxmlformats.org/officeDocument/2006/relationships/image" Target="media/image17.emf"/><Relationship Id="rId56" Type="http://schemas.openxmlformats.org/officeDocument/2006/relationships/image" Target="media/image36.jpeg"/><Relationship Id="rId77" Type="http://schemas.openxmlformats.org/officeDocument/2006/relationships/chart" Target="charts/chart17.xml"/><Relationship Id="rId100" Type="http://schemas.openxmlformats.org/officeDocument/2006/relationships/image" Target="media/image55.png"/><Relationship Id="rId105" Type="http://schemas.openxmlformats.org/officeDocument/2006/relationships/image" Target="media/image60.png"/><Relationship Id="rId126" Type="http://schemas.openxmlformats.org/officeDocument/2006/relationships/image" Target="media/image78.jpeg"/><Relationship Id="rId147" Type="http://schemas.openxmlformats.org/officeDocument/2006/relationships/header" Target="header11.xml"/><Relationship Id="rId8" Type="http://schemas.openxmlformats.org/officeDocument/2006/relationships/header" Target="header1.xml"/><Relationship Id="rId51" Type="http://schemas.openxmlformats.org/officeDocument/2006/relationships/header" Target="header6.xml"/><Relationship Id="rId72" Type="http://schemas.openxmlformats.org/officeDocument/2006/relationships/image" Target="media/image39.jpg"/><Relationship Id="rId93" Type="http://schemas.openxmlformats.org/officeDocument/2006/relationships/image" Target="media/image48.emf"/><Relationship Id="rId98" Type="http://schemas.openxmlformats.org/officeDocument/2006/relationships/image" Target="media/image53.png"/><Relationship Id="rId121" Type="http://schemas.openxmlformats.org/officeDocument/2006/relationships/image" Target="media/image73.emf"/><Relationship Id="rId142" Type="http://schemas.openxmlformats.org/officeDocument/2006/relationships/hyperlink" Target="https://warndienst.lko.at/maiswurzelbohrer+2500+1074067" TargetMode="External"/><Relationship Id="rId3" Type="http://schemas.openxmlformats.org/officeDocument/2006/relationships/styles" Target="styles.xml"/></Relationships>
</file>

<file path=word/_rels/footer4.xml.rels><?xml version="1.0" encoding="UTF-8" standalone="yes"?>
<Relationships xmlns="http://schemas.openxmlformats.org/package/2006/relationships"><Relationship Id="rId2" Type="http://schemas.openxmlformats.org/officeDocument/2006/relationships/hyperlink" Target="http://www.bmlfuw.gv.at/" TargetMode="External"/><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D:\CloudStation\biohelp\Projekt_Diacont\Diacont_Versuchsplan_und_Versuchsstandorte_2017_ohne_Feldnamen.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CloudStation\biohelp\Projekt_Diacont\Diagramme_Endbericht.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CloudStation\biohelp\Projekt_Diacont\Bonitur%20Unterschwarza%202016%20(1).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CloudStation\biohelp\Projekt_Diacont\Diagramme_Endbericht.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CloudStation\biohelp\Projekt_Diacont\Diagramme_Endbericht.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CloudStation\biohelp\Projekt_Diacont\Bonitur_Diacont_2017_keine_Feldnamen.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Micki\AppData\Roaming\Microsoft\Excel\Bonitur_Diacont_2017_keine_Feldnamen%20(version%201).xlsb"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CloudStation\biohelp\Projekt_Diacont\Bonitur_Diacont_2017_keine_Feldnamen.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CloudStation\biohelp\Projekt_Diacont\e-nema-Versuche\Unterschwarza%20Gro&#223;fl%202017.xls"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D:\CloudStation\biohelp\Projekt_Diacont\Erhebung_Maisaecker_2015_17.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D:\CloudStation\biohelp\Projekt_Diacont\Erhebung_Maisaecker_2015_17.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CloudStation\biohelp\Projekt_Diacont\Diacont_Versuchsplan_und_Versuchsstandorte_2017_ohne_Feldnamen.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D:\CloudStation\biohelp\Projekt_Diacont\Erhebung_Maisaecker_2015_17.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D:\CloudStation\biohelp\Projekt_Diacont\Erhebung_Maisaecker_2015_17.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D:\CloudStation\biohelp\Projekt_Diacont\Erhebung_Maisaecker_2015_17.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D:\CloudStation\biohelp\Projekt_Diacont\Erhebung_Maisaecker_2015_17.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D:\CloudStation\biohelp\Projekt_Diacont\Erhebung_Maisaecker_2015_17.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D:\CloudStation\biohelp\Projekt_Diacont\Erhebung_Maisaecker_2015_17.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D:\CloudStation\biohelp\Projekt_Diacont\Persistenz_Virulenztest_Mehlw&#252;rmer_2018.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D:\CloudStation\biohelp\Projekt_Diacont\Persistenz_Virulenztest_Mehlw&#252;rmer_2018.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D:\CloudStation\biohelp\Projekt_Diacont\Persistenz_Virulenztest_Mehlw&#252;rmer_2018.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zds.ages.at\FS\LWT\NPP\FEGA\Public\ENTO\Forschungsprojekte\diacont\4%20Versuche\2018_&#220;berwinterungsversuch\Bodenanalysen_Ueberwinterungsversuch.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D:\CloudStation\biohelp\Projekt_Diacont\Diacont_Versuchsplan_und_Versuchsstandorte_2017_ohne_Feldnamen.xlsx" TargetMode="External"/><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Arbeitsblatt.xlsx"/></Relationships>
</file>

<file path=word/charts/_rels/chart4.xml.rels><?xml version="1.0" encoding="UTF-8" standalone="yes"?>
<Relationships xmlns="http://schemas.openxmlformats.org/package/2006/relationships"><Relationship Id="rId1" Type="http://schemas.openxmlformats.org/officeDocument/2006/relationships/oleObject" Target="file:///D:\CloudStation\biohelp\Projekt_Diacont\Diagramme_Endbericht.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CloudStation\biohelp\Projekt_Diacont\Diagramme_Endbericht.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CloudStation\biohelp\Projekt_Diacont\Diagramme_Endbericht.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CloudStation\biohelp\Projekt_Diacont\Diagramme_Endbericht.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CloudStation\biohelp\Projekt_Diacont\Diagramme_Endbericht.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CloudStation\biohelp\Projekt_Diacont\Diagramme_Endberich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de-AT"/>
              <a:t>Larvenmortalität durch Nematoden in</a:t>
            </a:r>
            <a:r>
              <a:rPr lang="de-AT" baseline="0"/>
              <a:t> %, </a:t>
            </a:r>
          </a:p>
          <a:p>
            <a:pPr>
              <a:defRPr/>
            </a:pPr>
            <a:r>
              <a:rPr lang="de-AT" baseline="0"/>
              <a:t>n= 60, April 2017</a:t>
            </a:r>
          </a:p>
        </c:rich>
      </c:tx>
      <c:layout>
        <c:manualLayout>
          <c:xMode val="edge"/>
          <c:yMode val="edge"/>
          <c:x val="0.16930666244323084"/>
          <c:y val="0"/>
        </c:manualLayout>
      </c:layout>
      <c:overlay val="1"/>
    </c:title>
    <c:autoTitleDeleted val="0"/>
    <c:plotArea>
      <c:layout>
        <c:manualLayout>
          <c:layoutTarget val="inner"/>
          <c:xMode val="edge"/>
          <c:yMode val="edge"/>
          <c:x val="0.1133873536503107"/>
          <c:y val="0.16193131786504189"/>
          <c:w val="0.7928895474915395"/>
          <c:h val="0.53295593771785221"/>
        </c:manualLayout>
      </c:layout>
      <c:barChart>
        <c:barDir val="col"/>
        <c:grouping val="clustered"/>
        <c:varyColors val="0"/>
        <c:ser>
          <c:idx val="0"/>
          <c:order val="0"/>
          <c:tx>
            <c:strRef>
              <c:f>'Methodenvergleich 2017'!$B$53</c:f>
              <c:strCache>
                <c:ptCount val="1"/>
                <c:pt idx="0">
                  <c:v>Mittelwert</c:v>
                </c:pt>
              </c:strCache>
            </c:strRef>
          </c:tx>
          <c:invertIfNegative val="0"/>
          <c:cat>
            <c:strRef>
              <c:f>'Methodenvergleich 2017'!$A$54:$A$64</c:f>
              <c:strCache>
                <c:ptCount val="11"/>
                <c:pt idx="0">
                  <c:v>Gersdorf</c:v>
                </c:pt>
                <c:pt idx="1">
                  <c:v>Lichendorf 1</c:v>
                </c:pt>
                <c:pt idx="2">
                  <c:v>Schwarza 1</c:v>
                </c:pt>
                <c:pt idx="3">
                  <c:v>Lichendorf 2</c:v>
                </c:pt>
                <c:pt idx="4">
                  <c:v>Schwarza 2</c:v>
                </c:pt>
                <c:pt idx="5">
                  <c:v>Schwarza 3</c:v>
                </c:pt>
                <c:pt idx="6">
                  <c:v>Lichendorf V</c:v>
                </c:pt>
                <c:pt idx="7">
                  <c:v>Lichendorf 3</c:v>
                </c:pt>
                <c:pt idx="8">
                  <c:v>Schwarza 4</c:v>
                </c:pt>
                <c:pt idx="9">
                  <c:v>Schwarza V</c:v>
                </c:pt>
                <c:pt idx="10">
                  <c:v>Lichendorf 4</c:v>
                </c:pt>
              </c:strCache>
            </c:strRef>
          </c:cat>
          <c:val>
            <c:numRef>
              <c:f>'Methodenvergleich 2017'!$B$54:$B$64</c:f>
              <c:numCache>
                <c:formatCode>0.00</c:formatCode>
                <c:ptCount val="11"/>
                <c:pt idx="0">
                  <c:v>89.629629629629605</c:v>
                </c:pt>
                <c:pt idx="1">
                  <c:v>88.299663299663294</c:v>
                </c:pt>
                <c:pt idx="2">
                  <c:v>92.222222222222229</c:v>
                </c:pt>
                <c:pt idx="3">
                  <c:v>76.666666666666671</c:v>
                </c:pt>
                <c:pt idx="4">
                  <c:v>57.407407407407412</c:v>
                </c:pt>
                <c:pt idx="5">
                  <c:v>73.148148148148152</c:v>
                </c:pt>
                <c:pt idx="6">
                  <c:v>90</c:v>
                </c:pt>
                <c:pt idx="7">
                  <c:v>56.666666666666664</c:v>
                </c:pt>
                <c:pt idx="8">
                  <c:v>76.818181818181827</c:v>
                </c:pt>
                <c:pt idx="9">
                  <c:v>44.090909090909093</c:v>
                </c:pt>
                <c:pt idx="10">
                  <c:v>25.185185185185187</c:v>
                </c:pt>
              </c:numCache>
            </c:numRef>
          </c:val>
          <c:extLst>
            <c:ext xmlns:c16="http://schemas.microsoft.com/office/drawing/2014/chart" uri="{C3380CC4-5D6E-409C-BE32-E72D297353CC}">
              <c16:uniqueId val="{00000000-C97B-489B-91EB-3D90142E55D4}"/>
            </c:ext>
          </c:extLst>
        </c:ser>
        <c:dLbls>
          <c:showLegendKey val="0"/>
          <c:showVal val="0"/>
          <c:showCatName val="0"/>
          <c:showSerName val="0"/>
          <c:showPercent val="0"/>
          <c:showBubbleSize val="0"/>
        </c:dLbls>
        <c:gapWidth val="150"/>
        <c:axId val="94565120"/>
        <c:axId val="94566656"/>
      </c:barChart>
      <c:lineChart>
        <c:grouping val="standard"/>
        <c:varyColors val="0"/>
        <c:ser>
          <c:idx val="2"/>
          <c:order val="1"/>
          <c:tx>
            <c:strRef>
              <c:f>'Methodenvergleich 2017'!$D$53</c:f>
              <c:strCache>
                <c:ptCount val="1"/>
                <c:pt idx="0">
                  <c:v>Entfernung von der Mur in  Metern</c:v>
                </c:pt>
              </c:strCache>
            </c:strRef>
          </c:tx>
          <c:marker>
            <c:symbol val="none"/>
          </c:marker>
          <c:cat>
            <c:strRef>
              <c:f>'Methodenvergleich 2017'!$A$54:$A$64</c:f>
              <c:strCache>
                <c:ptCount val="11"/>
                <c:pt idx="0">
                  <c:v>Gersdorf</c:v>
                </c:pt>
                <c:pt idx="1">
                  <c:v>Lichendorf 1</c:v>
                </c:pt>
                <c:pt idx="2">
                  <c:v>Schwarza 1</c:v>
                </c:pt>
                <c:pt idx="3">
                  <c:v>Lichendorf 2</c:v>
                </c:pt>
                <c:pt idx="4">
                  <c:v>Schwarza 2</c:v>
                </c:pt>
                <c:pt idx="5">
                  <c:v>Schwarza 3</c:v>
                </c:pt>
                <c:pt idx="6">
                  <c:v>Lichendorf V</c:v>
                </c:pt>
                <c:pt idx="7">
                  <c:v>Lichendorf 3</c:v>
                </c:pt>
                <c:pt idx="8">
                  <c:v>Schwarza 4</c:v>
                </c:pt>
                <c:pt idx="9">
                  <c:v>Schwarza V</c:v>
                </c:pt>
                <c:pt idx="10">
                  <c:v>Lichendorf 4</c:v>
                </c:pt>
              </c:strCache>
            </c:strRef>
          </c:cat>
          <c:val>
            <c:numRef>
              <c:f>'Methodenvergleich 2017'!$D$54:$D$64</c:f>
              <c:numCache>
                <c:formatCode>General</c:formatCode>
                <c:ptCount val="11"/>
                <c:pt idx="0">
                  <c:v>150</c:v>
                </c:pt>
                <c:pt idx="1">
                  <c:v>280</c:v>
                </c:pt>
                <c:pt idx="2">
                  <c:v>380</c:v>
                </c:pt>
                <c:pt idx="3">
                  <c:v>540</c:v>
                </c:pt>
                <c:pt idx="4">
                  <c:v>820</c:v>
                </c:pt>
                <c:pt idx="5">
                  <c:v>950</c:v>
                </c:pt>
                <c:pt idx="6">
                  <c:v>1130</c:v>
                </c:pt>
                <c:pt idx="7">
                  <c:v>1340</c:v>
                </c:pt>
                <c:pt idx="8">
                  <c:v>1590</c:v>
                </c:pt>
                <c:pt idx="9">
                  <c:v>1620</c:v>
                </c:pt>
                <c:pt idx="10">
                  <c:v>1830</c:v>
                </c:pt>
              </c:numCache>
            </c:numRef>
          </c:val>
          <c:smooth val="0"/>
          <c:extLst>
            <c:ext xmlns:c16="http://schemas.microsoft.com/office/drawing/2014/chart" uri="{C3380CC4-5D6E-409C-BE32-E72D297353CC}">
              <c16:uniqueId val="{00000001-C97B-489B-91EB-3D90142E55D4}"/>
            </c:ext>
          </c:extLst>
        </c:ser>
        <c:dLbls>
          <c:showLegendKey val="0"/>
          <c:showVal val="0"/>
          <c:showCatName val="0"/>
          <c:showSerName val="0"/>
          <c:showPercent val="0"/>
          <c:showBubbleSize val="0"/>
        </c:dLbls>
        <c:marker val="1"/>
        <c:smooth val="0"/>
        <c:axId val="95299072"/>
        <c:axId val="95297536"/>
      </c:lineChart>
      <c:catAx>
        <c:axId val="94565120"/>
        <c:scaling>
          <c:orientation val="minMax"/>
        </c:scaling>
        <c:delete val="0"/>
        <c:axPos val="b"/>
        <c:numFmt formatCode="General" sourceLinked="0"/>
        <c:majorTickMark val="out"/>
        <c:minorTickMark val="none"/>
        <c:tickLblPos val="nextTo"/>
        <c:crossAx val="94566656"/>
        <c:crosses val="autoZero"/>
        <c:auto val="1"/>
        <c:lblAlgn val="ctr"/>
        <c:lblOffset val="100"/>
        <c:noMultiLvlLbl val="0"/>
      </c:catAx>
      <c:valAx>
        <c:axId val="94566656"/>
        <c:scaling>
          <c:orientation val="minMax"/>
        </c:scaling>
        <c:delete val="0"/>
        <c:axPos val="l"/>
        <c:majorGridlines/>
        <c:numFmt formatCode="0.00" sourceLinked="1"/>
        <c:majorTickMark val="out"/>
        <c:minorTickMark val="none"/>
        <c:tickLblPos val="nextTo"/>
        <c:crossAx val="94565120"/>
        <c:crosses val="autoZero"/>
        <c:crossBetween val="between"/>
      </c:valAx>
      <c:valAx>
        <c:axId val="95297536"/>
        <c:scaling>
          <c:orientation val="minMax"/>
        </c:scaling>
        <c:delete val="0"/>
        <c:axPos val="r"/>
        <c:numFmt formatCode="General" sourceLinked="1"/>
        <c:majorTickMark val="out"/>
        <c:minorTickMark val="none"/>
        <c:tickLblPos val="nextTo"/>
        <c:crossAx val="95299072"/>
        <c:crosses val="max"/>
        <c:crossBetween val="between"/>
      </c:valAx>
      <c:catAx>
        <c:axId val="95299072"/>
        <c:scaling>
          <c:orientation val="minMax"/>
        </c:scaling>
        <c:delete val="1"/>
        <c:axPos val="b"/>
        <c:numFmt formatCode="General" sourceLinked="1"/>
        <c:majorTickMark val="out"/>
        <c:minorTickMark val="none"/>
        <c:tickLblPos val="none"/>
        <c:crossAx val="95297536"/>
        <c:crosses val="autoZero"/>
        <c:auto val="1"/>
        <c:lblAlgn val="ctr"/>
        <c:lblOffset val="100"/>
        <c:noMultiLvlLbl val="0"/>
      </c:cat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AT"/>
              <a:t>Käfer pro Pflanze;</a:t>
            </a:r>
            <a:r>
              <a:rPr lang="de-AT" baseline="0"/>
              <a:t> n=10-20 </a:t>
            </a:r>
            <a:endParaRPr lang="de-AT"/>
          </a:p>
        </c:rich>
      </c:tx>
      <c:overlay val="0"/>
      <c:spPr>
        <a:noFill/>
        <a:ln>
          <a:noFill/>
        </a:ln>
        <a:effectLst/>
      </c:spPr>
    </c:title>
    <c:autoTitleDeleted val="0"/>
    <c:plotArea>
      <c:layout/>
      <c:barChart>
        <c:barDir val="col"/>
        <c:grouping val="clustered"/>
        <c:varyColors val="0"/>
        <c:ser>
          <c:idx val="0"/>
          <c:order val="0"/>
          <c:tx>
            <c:strRef>
              <c:f>'2016_2'!$B$35</c:f>
              <c:strCache>
                <c:ptCount val="1"/>
                <c:pt idx="0">
                  <c:v>7.7.</c:v>
                </c:pt>
              </c:strCache>
            </c:strRef>
          </c:tx>
          <c:spPr>
            <a:solidFill>
              <a:schemeClr val="accent1"/>
            </a:solidFill>
            <a:ln>
              <a:noFill/>
            </a:ln>
            <a:effectLst/>
          </c:spPr>
          <c:invertIfNegative val="0"/>
          <c:cat>
            <c:strRef>
              <c:f>'2016_2'!$C$34:$F$34</c:f>
              <c:strCache>
                <c:ptCount val="4"/>
                <c:pt idx="0">
                  <c:v>Dianem </c:v>
                </c:pt>
                <c:pt idx="1">
                  <c:v>Dianem  + Rhizovital</c:v>
                </c:pt>
                <c:pt idx="2">
                  <c:v>Unbehandelte Kontrolle</c:v>
                </c:pt>
                <c:pt idx="3">
                  <c:v>Belem 0,8  MG</c:v>
                </c:pt>
              </c:strCache>
            </c:strRef>
          </c:cat>
          <c:val>
            <c:numRef>
              <c:f>'2016_2'!$C$35:$F$35</c:f>
              <c:numCache>
                <c:formatCode>0.0</c:formatCode>
                <c:ptCount val="4"/>
                <c:pt idx="0">
                  <c:v>0.8</c:v>
                </c:pt>
                <c:pt idx="1">
                  <c:v>0.84615384615384615</c:v>
                </c:pt>
                <c:pt idx="2">
                  <c:v>1.1666666666666667</c:v>
                </c:pt>
                <c:pt idx="3">
                  <c:v>1</c:v>
                </c:pt>
              </c:numCache>
            </c:numRef>
          </c:val>
          <c:extLst>
            <c:ext xmlns:c16="http://schemas.microsoft.com/office/drawing/2014/chart" uri="{C3380CC4-5D6E-409C-BE32-E72D297353CC}">
              <c16:uniqueId val="{00000000-FFBD-4A84-A74C-4BB91ABED6C8}"/>
            </c:ext>
          </c:extLst>
        </c:ser>
        <c:ser>
          <c:idx val="2"/>
          <c:order val="2"/>
          <c:tx>
            <c:strRef>
              <c:f>'2016_2'!$B$37</c:f>
              <c:strCache>
                <c:ptCount val="1"/>
                <c:pt idx="0">
                  <c:v>12.7.</c:v>
                </c:pt>
              </c:strCache>
            </c:strRef>
          </c:tx>
          <c:spPr>
            <a:solidFill>
              <a:schemeClr val="accent3"/>
            </a:solidFill>
            <a:ln>
              <a:noFill/>
            </a:ln>
            <a:effectLst/>
          </c:spPr>
          <c:invertIfNegative val="0"/>
          <c:cat>
            <c:strRef>
              <c:f>'2016_2'!$C$34:$F$34</c:f>
              <c:strCache>
                <c:ptCount val="4"/>
                <c:pt idx="0">
                  <c:v>Dianem </c:v>
                </c:pt>
                <c:pt idx="1">
                  <c:v>Dianem  + Rhizovital</c:v>
                </c:pt>
                <c:pt idx="2">
                  <c:v>Unbehandelte Kontrolle</c:v>
                </c:pt>
                <c:pt idx="3">
                  <c:v>Belem 0,8  MG</c:v>
                </c:pt>
              </c:strCache>
            </c:strRef>
          </c:cat>
          <c:val>
            <c:numRef>
              <c:f>'2016_2'!$C$37:$F$37</c:f>
              <c:numCache>
                <c:formatCode>0.0</c:formatCode>
                <c:ptCount val="4"/>
                <c:pt idx="0">
                  <c:v>2.9285714285714284</c:v>
                </c:pt>
                <c:pt idx="1">
                  <c:v>2.3846153846153846</c:v>
                </c:pt>
                <c:pt idx="2">
                  <c:v>2.2666666666666666</c:v>
                </c:pt>
                <c:pt idx="3">
                  <c:v>2.8421052631578947</c:v>
                </c:pt>
              </c:numCache>
            </c:numRef>
          </c:val>
          <c:extLst>
            <c:ext xmlns:c16="http://schemas.microsoft.com/office/drawing/2014/chart" uri="{C3380CC4-5D6E-409C-BE32-E72D297353CC}">
              <c16:uniqueId val="{00000001-FFBD-4A84-A74C-4BB91ABED6C8}"/>
            </c:ext>
          </c:extLst>
        </c:ser>
        <c:ser>
          <c:idx val="4"/>
          <c:order val="4"/>
          <c:tx>
            <c:strRef>
              <c:f>'2016_2'!$B$39</c:f>
              <c:strCache>
                <c:ptCount val="1"/>
                <c:pt idx="0">
                  <c:v>19.7.</c:v>
                </c:pt>
              </c:strCache>
            </c:strRef>
          </c:tx>
          <c:spPr>
            <a:solidFill>
              <a:schemeClr val="accent5"/>
            </a:solidFill>
            <a:ln>
              <a:noFill/>
            </a:ln>
            <a:effectLst/>
          </c:spPr>
          <c:invertIfNegative val="0"/>
          <c:cat>
            <c:strRef>
              <c:f>'2016_2'!$C$34:$F$34</c:f>
              <c:strCache>
                <c:ptCount val="4"/>
                <c:pt idx="0">
                  <c:v>Dianem </c:v>
                </c:pt>
                <c:pt idx="1">
                  <c:v>Dianem  + Rhizovital</c:v>
                </c:pt>
                <c:pt idx="2">
                  <c:v>Unbehandelte Kontrolle</c:v>
                </c:pt>
                <c:pt idx="3">
                  <c:v>Belem 0,8  MG</c:v>
                </c:pt>
              </c:strCache>
            </c:strRef>
          </c:cat>
          <c:val>
            <c:numRef>
              <c:f>'2016_2'!$C$39:$F$39</c:f>
              <c:numCache>
                <c:formatCode>0.00</c:formatCode>
                <c:ptCount val="4"/>
                <c:pt idx="0">
                  <c:v>4.0769230769230766</c:v>
                </c:pt>
                <c:pt idx="1">
                  <c:v>3.0588235294117645</c:v>
                </c:pt>
                <c:pt idx="2">
                  <c:v>2.8636363636363638</c:v>
                </c:pt>
                <c:pt idx="3">
                  <c:v>3.4666666666666668</c:v>
                </c:pt>
              </c:numCache>
            </c:numRef>
          </c:val>
          <c:extLst>
            <c:ext xmlns:c16="http://schemas.microsoft.com/office/drawing/2014/chart" uri="{C3380CC4-5D6E-409C-BE32-E72D297353CC}">
              <c16:uniqueId val="{00000002-FFBD-4A84-A74C-4BB91ABED6C8}"/>
            </c:ext>
          </c:extLst>
        </c:ser>
        <c:ser>
          <c:idx val="6"/>
          <c:order val="6"/>
          <c:tx>
            <c:strRef>
              <c:f>'2016_2'!$B$41</c:f>
              <c:strCache>
                <c:ptCount val="1"/>
                <c:pt idx="0">
                  <c:v>26.7.</c:v>
                </c:pt>
              </c:strCache>
            </c:strRef>
          </c:tx>
          <c:spPr>
            <a:solidFill>
              <a:schemeClr val="accent1">
                <a:lumMod val="60000"/>
              </a:schemeClr>
            </a:solidFill>
            <a:ln>
              <a:noFill/>
            </a:ln>
            <a:effectLst/>
          </c:spPr>
          <c:invertIfNegative val="0"/>
          <c:cat>
            <c:strRef>
              <c:f>'2016_2'!$C$34:$F$34</c:f>
              <c:strCache>
                <c:ptCount val="4"/>
                <c:pt idx="0">
                  <c:v>Dianem </c:v>
                </c:pt>
                <c:pt idx="1">
                  <c:v>Dianem  + Rhizovital</c:v>
                </c:pt>
                <c:pt idx="2">
                  <c:v>Unbehandelte Kontrolle</c:v>
                </c:pt>
                <c:pt idx="3">
                  <c:v>Belem 0,8  MG</c:v>
                </c:pt>
              </c:strCache>
            </c:strRef>
          </c:cat>
          <c:val>
            <c:numRef>
              <c:f>'2016_2'!$C$41:$F$41</c:f>
              <c:numCache>
                <c:formatCode>0.00</c:formatCode>
                <c:ptCount val="4"/>
                <c:pt idx="0">
                  <c:v>2.25</c:v>
                </c:pt>
                <c:pt idx="1">
                  <c:v>1.9230769230769231</c:v>
                </c:pt>
                <c:pt idx="2">
                  <c:v>2.6666666666666665</c:v>
                </c:pt>
                <c:pt idx="3">
                  <c:v>2.4285714285714284</c:v>
                </c:pt>
              </c:numCache>
            </c:numRef>
          </c:val>
          <c:extLst>
            <c:ext xmlns:c16="http://schemas.microsoft.com/office/drawing/2014/chart" uri="{C3380CC4-5D6E-409C-BE32-E72D297353CC}">
              <c16:uniqueId val="{00000003-FFBD-4A84-A74C-4BB91ABED6C8}"/>
            </c:ext>
          </c:extLst>
        </c:ser>
        <c:ser>
          <c:idx val="8"/>
          <c:order val="8"/>
          <c:tx>
            <c:strRef>
              <c:f>'2016_2'!$B$43</c:f>
              <c:strCache>
                <c:ptCount val="1"/>
                <c:pt idx="0">
                  <c:v>9.8.</c:v>
                </c:pt>
              </c:strCache>
            </c:strRef>
          </c:tx>
          <c:spPr>
            <a:solidFill>
              <a:schemeClr val="accent3">
                <a:lumMod val="60000"/>
              </a:schemeClr>
            </a:solidFill>
            <a:ln>
              <a:noFill/>
            </a:ln>
            <a:effectLst/>
          </c:spPr>
          <c:invertIfNegative val="0"/>
          <c:cat>
            <c:strRef>
              <c:f>'2016_2'!$C$34:$F$34</c:f>
              <c:strCache>
                <c:ptCount val="4"/>
                <c:pt idx="0">
                  <c:v>Dianem </c:v>
                </c:pt>
                <c:pt idx="1">
                  <c:v>Dianem  + Rhizovital</c:v>
                </c:pt>
                <c:pt idx="2">
                  <c:v>Unbehandelte Kontrolle</c:v>
                </c:pt>
                <c:pt idx="3">
                  <c:v>Belem 0,8  MG</c:v>
                </c:pt>
              </c:strCache>
            </c:strRef>
          </c:cat>
          <c:val>
            <c:numRef>
              <c:f>'2016_2'!$C$43:$F$43</c:f>
              <c:numCache>
                <c:formatCode>0.00</c:formatCode>
                <c:ptCount val="4"/>
                <c:pt idx="0">
                  <c:v>1.0909090909090908</c:v>
                </c:pt>
                <c:pt idx="1">
                  <c:v>0.9</c:v>
                </c:pt>
                <c:pt idx="2">
                  <c:v>1.875</c:v>
                </c:pt>
                <c:pt idx="3">
                  <c:v>1.1818181818181819</c:v>
                </c:pt>
              </c:numCache>
            </c:numRef>
          </c:val>
          <c:extLst>
            <c:ext xmlns:c16="http://schemas.microsoft.com/office/drawing/2014/chart" uri="{C3380CC4-5D6E-409C-BE32-E72D297353CC}">
              <c16:uniqueId val="{00000004-FFBD-4A84-A74C-4BB91ABED6C8}"/>
            </c:ext>
          </c:extLst>
        </c:ser>
        <c:dLbls>
          <c:showLegendKey val="0"/>
          <c:showVal val="0"/>
          <c:showCatName val="0"/>
          <c:showSerName val="0"/>
          <c:showPercent val="0"/>
          <c:showBubbleSize val="0"/>
        </c:dLbls>
        <c:gapWidth val="219"/>
        <c:overlap val="-27"/>
        <c:axId val="107549056"/>
        <c:axId val="107550592"/>
        <c:extLst>
          <c:ext xmlns:c15="http://schemas.microsoft.com/office/drawing/2012/chart" uri="{02D57815-91ED-43cb-92C2-25804820EDAC}">
            <c15:filteredBarSeries>
              <c15:ser>
                <c:idx val="1"/>
                <c:order val="1"/>
                <c:tx>
                  <c:strRef>
                    <c:extLst>
                      <c:ext uri="{02D57815-91ED-43cb-92C2-25804820EDAC}">
                        <c15:formulaRef>
                          <c15:sqref>'2016_2'!$B$36</c15:sqref>
                        </c15:formulaRef>
                      </c:ext>
                    </c:extLst>
                    <c:strCache>
                      <c:ptCount val="1"/>
                      <c:pt idx="0">
                        <c:v>Stabw</c:v>
                      </c:pt>
                    </c:strCache>
                  </c:strRef>
                </c:tx>
                <c:spPr>
                  <a:solidFill>
                    <a:schemeClr val="accent2"/>
                  </a:solidFill>
                  <a:ln>
                    <a:noFill/>
                  </a:ln>
                  <a:effectLst/>
                </c:spPr>
                <c:invertIfNegative val="0"/>
                <c:cat>
                  <c:strRef>
                    <c:extLst>
                      <c:ext uri="{02D57815-91ED-43cb-92C2-25804820EDAC}">
                        <c15:formulaRef>
                          <c15:sqref>'2016_2'!$C$34:$F$34</c15:sqref>
                        </c15:formulaRef>
                      </c:ext>
                    </c:extLst>
                    <c:strCache>
                      <c:ptCount val="4"/>
                      <c:pt idx="0">
                        <c:v>Dianem </c:v>
                      </c:pt>
                      <c:pt idx="1">
                        <c:v>Dianem  + Rhizovital</c:v>
                      </c:pt>
                      <c:pt idx="2">
                        <c:v>Unbehandelte Kontrolle</c:v>
                      </c:pt>
                      <c:pt idx="3">
                        <c:v>Belem 0,8  MG</c:v>
                      </c:pt>
                    </c:strCache>
                  </c:strRef>
                </c:cat>
                <c:val>
                  <c:numRef>
                    <c:extLst>
                      <c:ext uri="{02D57815-91ED-43cb-92C2-25804820EDAC}">
                        <c15:formulaRef>
                          <c15:sqref>'2016_2'!$C$36:$F$36</c15:sqref>
                        </c15:formulaRef>
                      </c:ext>
                    </c:extLst>
                    <c:numCache>
                      <c:formatCode>0.0</c:formatCode>
                      <c:ptCount val="4"/>
                      <c:pt idx="0">
                        <c:v>1.1464230084422218</c:v>
                      </c:pt>
                      <c:pt idx="1">
                        <c:v>0.80064076902543568</c:v>
                      </c:pt>
                      <c:pt idx="2">
                        <c:v>0.79147759387691785</c:v>
                      </c:pt>
                      <c:pt idx="3">
                        <c:v>0.91766293548224709</c:v>
                      </c:pt>
                    </c:numCache>
                  </c:numRef>
                </c:val>
                <c:extLst>
                  <c:ext xmlns:c16="http://schemas.microsoft.com/office/drawing/2014/chart" uri="{C3380CC4-5D6E-409C-BE32-E72D297353CC}">
                    <c16:uniqueId val="{00000005-FFBD-4A84-A74C-4BB91ABED6C8}"/>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'2016_2'!$B$38</c15:sqref>
                        </c15:formulaRef>
                      </c:ext>
                    </c:extLst>
                    <c:strCache>
                      <c:ptCount val="1"/>
                      <c:pt idx="0">
                        <c:v>Stabw</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'2016_2'!$C$34:$F$34</c15:sqref>
                        </c15:formulaRef>
                      </c:ext>
                    </c:extLst>
                    <c:strCache>
                      <c:ptCount val="4"/>
                      <c:pt idx="0">
                        <c:v>Dianem </c:v>
                      </c:pt>
                      <c:pt idx="1">
                        <c:v>Dianem  + Rhizovital</c:v>
                      </c:pt>
                      <c:pt idx="2">
                        <c:v>Unbehandelte Kontrolle</c:v>
                      </c:pt>
                      <c:pt idx="3">
                        <c:v>Belem 0,8  MG</c:v>
                      </c:pt>
                    </c:strCache>
                  </c:strRef>
                </c:cat>
                <c:val>
                  <c:numRef>
                    <c:extLst xmlns:c15="http://schemas.microsoft.com/office/drawing/2012/chart">
                      <c:ext xmlns:c15="http://schemas.microsoft.com/office/drawing/2012/chart" uri="{02D57815-91ED-43cb-92C2-25804820EDAC}">
                        <c15:formulaRef>
                          <c15:sqref>'2016_2'!$C$38:$F$38</c15:sqref>
                        </c15:formulaRef>
                      </c:ext>
                    </c:extLst>
                    <c:numCache>
                      <c:formatCode>0.0</c:formatCode>
                      <c:ptCount val="4"/>
                      <c:pt idx="0">
                        <c:v>2.4640269015229057</c:v>
                      </c:pt>
                      <c:pt idx="1">
                        <c:v>2.4677405839641229</c:v>
                      </c:pt>
                      <c:pt idx="2">
                        <c:v>1.7798359733284479</c:v>
                      </c:pt>
                      <c:pt idx="3">
                        <c:v>2.833591319524019</c:v>
                      </c:pt>
                    </c:numCache>
                  </c:numRef>
                </c:val>
                <c:extLst xmlns:c15="http://schemas.microsoft.com/office/drawing/2012/chart">
                  <c:ext xmlns:c16="http://schemas.microsoft.com/office/drawing/2014/chart" uri="{C3380CC4-5D6E-409C-BE32-E72D297353CC}">
                    <c16:uniqueId val="{00000006-FFBD-4A84-A74C-4BB91ABED6C8}"/>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'2016_2'!$B$40</c15:sqref>
                        </c15:formulaRef>
                      </c:ext>
                    </c:extLst>
                    <c:strCache>
                      <c:ptCount val="1"/>
                      <c:pt idx="0">
                        <c:v>Stabw</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'2016_2'!$C$34:$F$34</c15:sqref>
                        </c15:formulaRef>
                      </c:ext>
                    </c:extLst>
                    <c:strCache>
                      <c:ptCount val="4"/>
                      <c:pt idx="0">
                        <c:v>Dianem </c:v>
                      </c:pt>
                      <c:pt idx="1">
                        <c:v>Dianem  + Rhizovital</c:v>
                      </c:pt>
                      <c:pt idx="2">
                        <c:v>Unbehandelte Kontrolle</c:v>
                      </c:pt>
                      <c:pt idx="3">
                        <c:v>Belem 0,8  MG</c:v>
                      </c:pt>
                    </c:strCache>
                  </c:strRef>
                </c:cat>
                <c:val>
                  <c:numRef>
                    <c:extLst xmlns:c15="http://schemas.microsoft.com/office/drawing/2012/chart">
                      <c:ext xmlns:c15="http://schemas.microsoft.com/office/drawing/2012/chart" uri="{02D57815-91ED-43cb-92C2-25804820EDAC}">
                        <c15:formulaRef>
                          <c15:sqref>'2016_2'!$C$40:$F$40</c15:sqref>
                        </c15:formulaRef>
                      </c:ext>
                    </c:extLst>
                    <c:numCache>
                      <c:formatCode>0.00</c:formatCode>
                      <c:ptCount val="4"/>
                      <c:pt idx="0">
                        <c:v>1.9348358440936906</c:v>
                      </c:pt>
                      <c:pt idx="1">
                        <c:v>1.9833868834425028</c:v>
                      </c:pt>
                      <c:pt idx="2">
                        <c:v>2.3359601787509043</c:v>
                      </c:pt>
                      <c:pt idx="3">
                        <c:v>3.0441200151548995</c:v>
                      </c:pt>
                    </c:numCache>
                  </c:numRef>
                </c:val>
                <c:extLst xmlns:c15="http://schemas.microsoft.com/office/drawing/2012/chart">
                  <c:ext xmlns:c16="http://schemas.microsoft.com/office/drawing/2014/chart" uri="{C3380CC4-5D6E-409C-BE32-E72D297353CC}">
                    <c16:uniqueId val="{00000007-FFBD-4A84-A74C-4BB91ABED6C8}"/>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'2016_2'!$B$42</c15:sqref>
                        </c15:formulaRef>
                      </c:ext>
                    </c:extLst>
                    <c:strCache>
                      <c:ptCount val="1"/>
                      <c:pt idx="0">
                        <c:v>Stabw</c:v>
                      </c:pt>
                    </c:strCache>
                  </c:strRef>
                </c:tx>
                <c:spPr>
                  <a:solidFill>
                    <a:schemeClr val="accent2">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'2016_2'!$C$34:$F$34</c15:sqref>
                        </c15:formulaRef>
                      </c:ext>
                    </c:extLst>
                    <c:strCache>
                      <c:ptCount val="4"/>
                      <c:pt idx="0">
                        <c:v>Dianem </c:v>
                      </c:pt>
                      <c:pt idx="1">
                        <c:v>Dianem  + Rhizovital</c:v>
                      </c:pt>
                      <c:pt idx="2">
                        <c:v>Unbehandelte Kontrolle</c:v>
                      </c:pt>
                      <c:pt idx="3">
                        <c:v>Belem 0,8  MG</c:v>
                      </c:pt>
                    </c:strCache>
                  </c:strRef>
                </c:cat>
                <c:val>
                  <c:numRef>
                    <c:extLst xmlns:c15="http://schemas.microsoft.com/office/drawing/2012/chart">
                      <c:ext xmlns:c15="http://schemas.microsoft.com/office/drawing/2012/chart" uri="{02D57815-91ED-43cb-92C2-25804820EDAC}">
                        <c15:formulaRef>
                          <c15:sqref>'2016_2'!$C$42:$F$42</c15:sqref>
                        </c15:formulaRef>
                      </c:ext>
                    </c:extLst>
                    <c:numCache>
                      <c:formatCode>0.00</c:formatCode>
                      <c:ptCount val="4"/>
                      <c:pt idx="0">
                        <c:v>1.5447859516333116</c:v>
                      </c:pt>
                      <c:pt idx="1">
                        <c:v>1.497861723788195</c:v>
                      </c:pt>
                      <c:pt idx="2">
                        <c:v>1.8529256146249726</c:v>
                      </c:pt>
                      <c:pt idx="3">
                        <c:v>1.1578684470436789</c:v>
                      </c:pt>
                    </c:numCache>
                  </c:numRef>
                </c:val>
                <c:extLst xmlns:c15="http://schemas.microsoft.com/office/drawing/2012/chart">
                  <c:ext xmlns:c16="http://schemas.microsoft.com/office/drawing/2014/chart" uri="{C3380CC4-5D6E-409C-BE32-E72D297353CC}">
                    <c16:uniqueId val="{00000008-FFBD-4A84-A74C-4BB91ABED6C8}"/>
                  </c:ext>
                </c:extLst>
              </c15:ser>
            </c15:filteredBarSeries>
            <c15:filteredBarSeries>
              <c15:ser>
                <c:idx val="9"/>
                <c:order val="9"/>
                <c:tx>
                  <c:strRef>
                    <c:extLst xmlns:c15="http://schemas.microsoft.com/office/drawing/2012/chart">
                      <c:ext xmlns:c15="http://schemas.microsoft.com/office/drawing/2012/chart" uri="{02D57815-91ED-43cb-92C2-25804820EDAC}">
                        <c15:formulaRef>
                          <c15:sqref>'2016_2'!$B$44</c15:sqref>
                        </c15:formulaRef>
                      </c:ext>
                    </c:extLst>
                    <c:strCache>
                      <c:ptCount val="1"/>
                      <c:pt idx="0">
                        <c:v>Stabw</c:v>
                      </c:pt>
                    </c:strCache>
                  </c:strRef>
                </c:tx>
                <c:spPr>
                  <a:solidFill>
                    <a:schemeClr val="accent4">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'2016_2'!$C$34:$F$34</c15:sqref>
                        </c15:formulaRef>
                      </c:ext>
                    </c:extLst>
                    <c:strCache>
                      <c:ptCount val="4"/>
                      <c:pt idx="0">
                        <c:v>Dianem </c:v>
                      </c:pt>
                      <c:pt idx="1">
                        <c:v>Dianem  + Rhizovital</c:v>
                      </c:pt>
                      <c:pt idx="2">
                        <c:v>Unbehandelte Kontrolle</c:v>
                      </c:pt>
                      <c:pt idx="3">
                        <c:v>Belem 0,8  MG</c:v>
                      </c:pt>
                    </c:strCache>
                  </c:strRef>
                </c:cat>
                <c:val>
                  <c:numRef>
                    <c:extLst xmlns:c15="http://schemas.microsoft.com/office/drawing/2012/chart">
                      <c:ext xmlns:c15="http://schemas.microsoft.com/office/drawing/2012/chart" uri="{02D57815-91ED-43cb-92C2-25804820EDAC}">
                        <c15:formulaRef>
                          <c15:sqref>'2016_2'!$C$44:$F$44</c15:sqref>
                        </c15:formulaRef>
                      </c:ext>
                    </c:extLst>
                    <c:numCache>
                      <c:formatCode>0.00</c:formatCode>
                      <c:ptCount val="4"/>
                      <c:pt idx="0">
                        <c:v>1.2210278829367864</c:v>
                      </c:pt>
                      <c:pt idx="1">
                        <c:v>0.99442892601175326</c:v>
                      </c:pt>
                      <c:pt idx="2">
                        <c:v>1.1156008324626261</c:v>
                      </c:pt>
                      <c:pt idx="3">
                        <c:v>1.3280197150781925</c:v>
                      </c:pt>
                    </c:numCache>
                  </c:numRef>
                </c:val>
                <c:extLst xmlns:c15="http://schemas.microsoft.com/office/drawing/2012/chart">
                  <c:ext xmlns:c16="http://schemas.microsoft.com/office/drawing/2014/chart" uri="{C3380CC4-5D6E-409C-BE32-E72D297353CC}">
                    <c16:uniqueId val="{00000009-FFBD-4A84-A74C-4BB91ABED6C8}"/>
                  </c:ext>
                </c:extLst>
              </c15:ser>
            </c15:filteredBarSeries>
          </c:ext>
        </c:extLst>
      </c:barChart>
      <c:catAx>
        <c:axId val="107549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7550592"/>
        <c:crosses val="autoZero"/>
        <c:auto val="1"/>
        <c:lblAlgn val="ctr"/>
        <c:lblOffset val="100"/>
        <c:noMultiLvlLbl val="0"/>
      </c:catAx>
      <c:valAx>
        <c:axId val="10755059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7549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AT" sz="1400" b="0" i="0" baseline="0">
                <a:effectLst/>
              </a:rPr>
              <a:t>Lagerung nach Foltin</a:t>
            </a:r>
            <a:endParaRPr lang="de-AT" sz="1400">
              <a:effectLst/>
            </a:endParaRPr>
          </a:p>
          <a:p>
            <a:pPr>
              <a:defRPr sz="1400" b="0" i="0" u="none" strike="noStrike" kern="1200" spc="0" baseline="0">
                <a:solidFill>
                  <a:schemeClr val="tx1">
                    <a:lumMod val="65000"/>
                    <a:lumOff val="35000"/>
                  </a:schemeClr>
                </a:solidFill>
                <a:latin typeface="+mn-lt"/>
                <a:ea typeface="+mn-ea"/>
                <a:cs typeface="+mn-cs"/>
              </a:defRPr>
            </a:pPr>
            <a:r>
              <a:rPr lang="de-AT" sz="1400" b="0" i="0" baseline="0">
                <a:effectLst/>
              </a:rPr>
              <a:t>n=&gt;500 </a:t>
            </a:r>
            <a:endParaRPr lang="de-AT" sz="1400">
              <a:effectLst/>
            </a:endParaRPr>
          </a:p>
        </c:rich>
      </c:tx>
      <c:overlay val="0"/>
      <c:spPr>
        <a:noFill/>
        <a:ln>
          <a:noFill/>
        </a:ln>
        <a:effectLst/>
      </c:spPr>
    </c:title>
    <c:autoTitleDeleted val="0"/>
    <c:plotArea>
      <c:layout/>
      <c:barChart>
        <c:barDir val="col"/>
        <c:grouping val="percentStacked"/>
        <c:varyColors val="0"/>
        <c:ser>
          <c:idx val="0"/>
          <c:order val="0"/>
          <c:tx>
            <c:strRef>
              <c:f>'8.9.2016'!$AK$126</c:f>
              <c:strCache>
                <c:ptCount val="1"/>
                <c:pt idx="0">
                  <c:v>Pflanze aufrecht</c:v>
                </c:pt>
              </c:strCache>
            </c:strRef>
          </c:tx>
          <c:spPr>
            <a:solidFill>
              <a:schemeClr val="accent1"/>
            </a:solidFill>
            <a:ln>
              <a:noFill/>
            </a:ln>
            <a:effectLst/>
          </c:spPr>
          <c:invertIfNegative val="0"/>
          <c:cat>
            <c:strRef>
              <c:f>'8.9.2016'!$AL$125:$AO$125</c:f>
              <c:strCache>
                <c:ptCount val="4"/>
                <c:pt idx="0">
                  <c:v>Dianem</c:v>
                </c:pt>
                <c:pt idx="1">
                  <c:v>Dianem+ Rhizovital</c:v>
                </c:pt>
                <c:pt idx="2">
                  <c:v>Unbehandelte Kontrolle</c:v>
                </c:pt>
                <c:pt idx="3">
                  <c:v>Belem 0,8  MG</c:v>
                </c:pt>
              </c:strCache>
            </c:strRef>
          </c:cat>
          <c:val>
            <c:numRef>
              <c:f>'8.9.2016'!$AL$126:$AO$126</c:f>
              <c:numCache>
                <c:formatCode>General</c:formatCode>
                <c:ptCount val="4"/>
                <c:pt idx="0">
                  <c:v>552</c:v>
                </c:pt>
                <c:pt idx="1">
                  <c:v>420</c:v>
                </c:pt>
                <c:pt idx="2">
                  <c:v>1211</c:v>
                </c:pt>
                <c:pt idx="3">
                  <c:v>470</c:v>
                </c:pt>
              </c:numCache>
            </c:numRef>
          </c:val>
          <c:extLst>
            <c:ext xmlns:c16="http://schemas.microsoft.com/office/drawing/2014/chart" uri="{C3380CC4-5D6E-409C-BE32-E72D297353CC}">
              <c16:uniqueId val="{00000000-8584-4248-B748-489BBB98C268}"/>
            </c:ext>
          </c:extLst>
        </c:ser>
        <c:ser>
          <c:idx val="1"/>
          <c:order val="1"/>
          <c:tx>
            <c:strRef>
              <c:f>'8.9.2016'!$AK$127</c:f>
              <c:strCache>
                <c:ptCount val="1"/>
                <c:pt idx="0">
                  <c:v>Neigung bis 30  % von vertikal</c:v>
                </c:pt>
              </c:strCache>
            </c:strRef>
          </c:tx>
          <c:spPr>
            <a:solidFill>
              <a:schemeClr val="accent2"/>
            </a:solidFill>
            <a:ln>
              <a:noFill/>
            </a:ln>
            <a:effectLst/>
          </c:spPr>
          <c:invertIfNegative val="0"/>
          <c:cat>
            <c:strRef>
              <c:f>'8.9.2016'!$AL$125:$AO$125</c:f>
              <c:strCache>
                <c:ptCount val="4"/>
                <c:pt idx="0">
                  <c:v>Dianem</c:v>
                </c:pt>
                <c:pt idx="1">
                  <c:v>Dianem+ Rhizovital</c:v>
                </c:pt>
                <c:pt idx="2">
                  <c:v>Unbehandelte Kontrolle</c:v>
                </c:pt>
                <c:pt idx="3">
                  <c:v>Belem 0,8  MG</c:v>
                </c:pt>
              </c:strCache>
            </c:strRef>
          </c:cat>
          <c:val>
            <c:numRef>
              <c:f>'8.9.2016'!$AL$127:$AO$127</c:f>
              <c:numCache>
                <c:formatCode>General</c:formatCode>
                <c:ptCount val="4"/>
                <c:pt idx="0">
                  <c:v>24</c:v>
                </c:pt>
                <c:pt idx="1">
                  <c:v>22</c:v>
                </c:pt>
                <c:pt idx="2">
                  <c:v>110</c:v>
                </c:pt>
                <c:pt idx="3">
                  <c:v>37</c:v>
                </c:pt>
              </c:numCache>
            </c:numRef>
          </c:val>
          <c:extLst>
            <c:ext xmlns:c16="http://schemas.microsoft.com/office/drawing/2014/chart" uri="{C3380CC4-5D6E-409C-BE32-E72D297353CC}">
              <c16:uniqueId val="{00000001-8584-4248-B748-489BBB98C268}"/>
            </c:ext>
          </c:extLst>
        </c:ser>
        <c:ser>
          <c:idx val="2"/>
          <c:order val="2"/>
          <c:tx>
            <c:strRef>
              <c:f>'8.9.2016'!$AK$128</c:f>
              <c:strCache>
                <c:ptCount val="1"/>
                <c:pt idx="0">
                  <c:v>Neigung über 30% von vertikal</c:v>
                </c:pt>
              </c:strCache>
            </c:strRef>
          </c:tx>
          <c:spPr>
            <a:solidFill>
              <a:schemeClr val="accent3"/>
            </a:solidFill>
            <a:ln>
              <a:noFill/>
            </a:ln>
            <a:effectLst/>
          </c:spPr>
          <c:invertIfNegative val="0"/>
          <c:cat>
            <c:strRef>
              <c:f>'8.9.2016'!$AL$125:$AO$125</c:f>
              <c:strCache>
                <c:ptCount val="4"/>
                <c:pt idx="0">
                  <c:v>Dianem</c:v>
                </c:pt>
                <c:pt idx="1">
                  <c:v>Dianem+ Rhizovital</c:v>
                </c:pt>
                <c:pt idx="2">
                  <c:v>Unbehandelte Kontrolle</c:v>
                </c:pt>
                <c:pt idx="3">
                  <c:v>Belem 0,8  MG</c:v>
                </c:pt>
              </c:strCache>
            </c:strRef>
          </c:cat>
          <c:val>
            <c:numRef>
              <c:f>'8.9.2016'!$AL$128:$AO$128</c:f>
              <c:numCache>
                <c:formatCode>General</c:formatCode>
                <c:ptCount val="4"/>
                <c:pt idx="0">
                  <c:v>36</c:v>
                </c:pt>
                <c:pt idx="1">
                  <c:v>54</c:v>
                </c:pt>
                <c:pt idx="2">
                  <c:v>184</c:v>
                </c:pt>
                <c:pt idx="3">
                  <c:v>34</c:v>
                </c:pt>
              </c:numCache>
            </c:numRef>
          </c:val>
          <c:extLst>
            <c:ext xmlns:c16="http://schemas.microsoft.com/office/drawing/2014/chart" uri="{C3380CC4-5D6E-409C-BE32-E72D297353CC}">
              <c16:uniqueId val="{00000002-8584-4248-B748-489BBB98C268}"/>
            </c:ext>
          </c:extLst>
        </c:ser>
        <c:ser>
          <c:idx val="3"/>
          <c:order val="3"/>
          <c:tx>
            <c:strRef>
              <c:f>'8.9.2016'!$AK$129</c:f>
              <c:strCache>
                <c:ptCount val="1"/>
                <c:pt idx="0">
                  <c:v>Pflanze liegt - nicht beerntbar</c:v>
                </c:pt>
              </c:strCache>
            </c:strRef>
          </c:tx>
          <c:spPr>
            <a:solidFill>
              <a:schemeClr val="accent4"/>
            </a:solidFill>
            <a:ln>
              <a:noFill/>
            </a:ln>
            <a:effectLst/>
          </c:spPr>
          <c:invertIfNegative val="0"/>
          <c:cat>
            <c:strRef>
              <c:f>'8.9.2016'!$AL$125:$AO$125</c:f>
              <c:strCache>
                <c:ptCount val="4"/>
                <c:pt idx="0">
                  <c:v>Dianem</c:v>
                </c:pt>
                <c:pt idx="1">
                  <c:v>Dianem+ Rhizovital</c:v>
                </c:pt>
                <c:pt idx="2">
                  <c:v>Unbehandelte Kontrolle</c:v>
                </c:pt>
                <c:pt idx="3">
                  <c:v>Belem 0,8  MG</c:v>
                </c:pt>
              </c:strCache>
            </c:strRef>
          </c:cat>
          <c:val>
            <c:numRef>
              <c:f>'8.9.2016'!$AL$129:$AO$129</c:f>
              <c:numCache>
                <c:formatCode>General</c:formatCode>
                <c:ptCount val="4"/>
                <c:pt idx="0">
                  <c:v>6</c:v>
                </c:pt>
                <c:pt idx="1">
                  <c:v>7</c:v>
                </c:pt>
                <c:pt idx="2">
                  <c:v>66</c:v>
                </c:pt>
                <c:pt idx="3">
                  <c:v>5</c:v>
                </c:pt>
              </c:numCache>
            </c:numRef>
          </c:val>
          <c:extLst>
            <c:ext xmlns:c16="http://schemas.microsoft.com/office/drawing/2014/chart" uri="{C3380CC4-5D6E-409C-BE32-E72D297353CC}">
              <c16:uniqueId val="{00000003-8584-4248-B748-489BBB98C268}"/>
            </c:ext>
          </c:extLst>
        </c:ser>
        <c:dLbls>
          <c:showLegendKey val="0"/>
          <c:showVal val="0"/>
          <c:showCatName val="0"/>
          <c:showSerName val="0"/>
          <c:showPercent val="0"/>
          <c:showBubbleSize val="0"/>
        </c:dLbls>
        <c:gapWidth val="150"/>
        <c:overlap val="100"/>
        <c:axId val="107595648"/>
        <c:axId val="107597184"/>
      </c:barChart>
      <c:catAx>
        <c:axId val="107595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7597184"/>
        <c:crosses val="autoZero"/>
        <c:auto val="1"/>
        <c:lblAlgn val="ctr"/>
        <c:lblOffset val="100"/>
        <c:noMultiLvlLbl val="0"/>
      </c:catAx>
      <c:valAx>
        <c:axId val="1075971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7595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effectLst/>
              </a:rPr>
              <a:t>Schabefraß in Prozent der Blattfläche</a:t>
            </a:r>
            <a:endParaRPr lang="de-AT" sz="1400">
              <a:effectLst/>
            </a:endParaRPr>
          </a:p>
          <a:p>
            <a:pPr>
              <a:defRPr sz="1400" b="0" i="0" u="none" strike="noStrike" kern="1200" spc="0" baseline="0">
                <a:solidFill>
                  <a:schemeClr val="tx1">
                    <a:lumMod val="65000"/>
                    <a:lumOff val="35000"/>
                  </a:schemeClr>
                </a:solidFill>
                <a:latin typeface="+mn-lt"/>
                <a:ea typeface="+mn-ea"/>
                <a:cs typeface="+mn-cs"/>
              </a:defRPr>
            </a:pPr>
            <a:r>
              <a:rPr lang="en-US" sz="1400" b="0" i="0" baseline="0">
                <a:effectLst/>
              </a:rPr>
              <a:t>n=</a:t>
            </a:r>
            <a:r>
              <a:rPr lang="en-US" sz="1400" b="0" i="0" u="sng" baseline="0">
                <a:effectLst/>
              </a:rPr>
              <a:t>&gt;</a:t>
            </a:r>
            <a:r>
              <a:rPr lang="en-US" sz="1400" b="0" i="0" baseline="0">
                <a:effectLst/>
              </a:rPr>
              <a:t>15 </a:t>
            </a:r>
            <a:r>
              <a:rPr lang="en-US" sz="1400"/>
              <a:t> </a:t>
            </a:r>
          </a:p>
        </c:rich>
      </c:tx>
      <c:overlay val="0"/>
      <c:spPr>
        <a:noFill/>
        <a:ln>
          <a:noFill/>
        </a:ln>
        <a:effectLst/>
      </c:spPr>
    </c:title>
    <c:autoTitleDeleted val="0"/>
    <c:plotArea>
      <c:layout/>
      <c:barChart>
        <c:barDir val="col"/>
        <c:grouping val="clustered"/>
        <c:varyColors val="0"/>
        <c:ser>
          <c:idx val="30"/>
          <c:order val="0"/>
          <c:tx>
            <c:strRef>
              <c:f>'2016_2'!$B$94</c:f>
              <c:strCache>
                <c:ptCount val="1"/>
                <c:pt idx="0">
                  <c:v>Mittelwert </c:v>
                </c:pt>
              </c:strCache>
            </c:strRef>
          </c:tx>
          <c:spPr>
            <a:solidFill>
              <a:schemeClr val="bg1"/>
            </a:solidFill>
            <a:ln>
              <a:solidFill>
                <a:schemeClr val="tx1"/>
              </a:solidFill>
            </a:ln>
            <a:effectLst/>
          </c:spPr>
          <c:invertIfNegative val="0"/>
          <c:errBars>
            <c:errBarType val="both"/>
            <c:errValType val="cust"/>
            <c:noEndCap val="0"/>
            <c:plus>
              <c:numRef>
                <c:f>'2016_2'!$C$95:$J$95</c:f>
                <c:numCache>
                  <c:formatCode>General</c:formatCode>
                  <c:ptCount val="8"/>
                  <c:pt idx="0">
                    <c:v>4.3237990350197935</c:v>
                  </c:pt>
                  <c:pt idx="1">
                    <c:v>3.4406533155921477</c:v>
                  </c:pt>
                  <c:pt idx="2">
                    <c:v>3.0519314727375049</c:v>
                  </c:pt>
                  <c:pt idx="3">
                    <c:v>1.3345232785352157</c:v>
                  </c:pt>
                  <c:pt idx="4">
                    <c:v>4.1634700381557552</c:v>
                  </c:pt>
                  <c:pt idx="5">
                    <c:v>3.4775139752811723</c:v>
                  </c:pt>
                  <c:pt idx="6">
                    <c:v>5.9984124883966077</c:v>
                  </c:pt>
                  <c:pt idx="7">
                    <c:v>4.5544326916595379</c:v>
                  </c:pt>
                </c:numCache>
              </c:numRef>
            </c:plus>
            <c:minus>
              <c:numRef>
                <c:f>'2016_2'!$C$95:$J$95</c:f>
                <c:numCache>
                  <c:formatCode>General</c:formatCode>
                  <c:ptCount val="8"/>
                  <c:pt idx="0">
                    <c:v>4.3237990350197935</c:v>
                  </c:pt>
                  <c:pt idx="1">
                    <c:v>3.4406533155921477</c:v>
                  </c:pt>
                  <c:pt idx="2">
                    <c:v>3.0519314727375049</c:v>
                  </c:pt>
                  <c:pt idx="3">
                    <c:v>1.3345232785352157</c:v>
                  </c:pt>
                  <c:pt idx="4">
                    <c:v>4.1634700381557552</c:v>
                  </c:pt>
                  <c:pt idx="5">
                    <c:v>3.4775139752811723</c:v>
                  </c:pt>
                  <c:pt idx="6">
                    <c:v>5.9984124883966077</c:v>
                  </c:pt>
                  <c:pt idx="7">
                    <c:v>4.5544326916595379</c:v>
                  </c:pt>
                </c:numCache>
              </c:numRef>
            </c:minus>
            <c:spPr>
              <a:noFill/>
              <a:ln w="9525" cap="flat" cmpd="sng" algn="ctr">
                <a:solidFill>
                  <a:schemeClr val="tx1">
                    <a:lumMod val="65000"/>
                    <a:lumOff val="35000"/>
                  </a:schemeClr>
                </a:solidFill>
                <a:round/>
              </a:ln>
              <a:effectLst/>
            </c:spPr>
          </c:errBars>
          <c:cat>
            <c:multiLvlStrRef>
              <c:f>'2016_2'!$C$62:$J$63</c:f>
              <c:multiLvlStrCache>
                <c:ptCount val="8"/>
                <c:lvl>
                  <c:pt idx="0">
                    <c:v>ober Kolben</c:v>
                  </c:pt>
                  <c:pt idx="1">
                    <c:v>unter Kolben</c:v>
                  </c:pt>
                  <c:pt idx="2">
                    <c:v>ober Kolben</c:v>
                  </c:pt>
                  <c:pt idx="3">
                    <c:v>unter Kolben</c:v>
                  </c:pt>
                  <c:pt idx="4">
                    <c:v>ober Kolben</c:v>
                  </c:pt>
                  <c:pt idx="5">
                    <c:v>unter Kolben</c:v>
                  </c:pt>
                  <c:pt idx="6">
                    <c:v>ober Kolben</c:v>
                  </c:pt>
                  <c:pt idx="7">
                    <c:v>unter Kolben</c:v>
                  </c:pt>
                </c:lvl>
                <c:lvl>
                  <c:pt idx="0">
                    <c:v>Dianem </c:v>
                  </c:pt>
                  <c:pt idx="2">
                    <c:v>Dianem  + Rhizovital</c:v>
                  </c:pt>
                  <c:pt idx="4">
                    <c:v>UK</c:v>
                  </c:pt>
                  <c:pt idx="6">
                    <c:v>Belem 0,8  MG</c:v>
                  </c:pt>
                </c:lvl>
              </c:multiLvlStrCache>
            </c:multiLvlStrRef>
          </c:cat>
          <c:val>
            <c:numRef>
              <c:f>'2016_2'!$C$94:$J$94</c:f>
              <c:numCache>
                <c:formatCode>0.00</c:formatCode>
                <c:ptCount val="8"/>
                <c:pt idx="0">
                  <c:v>3.1333333333333333</c:v>
                </c:pt>
                <c:pt idx="1">
                  <c:v>2.1333333333333333</c:v>
                </c:pt>
                <c:pt idx="2">
                  <c:v>1.8</c:v>
                </c:pt>
                <c:pt idx="3">
                  <c:v>0.73333333333333328</c:v>
                </c:pt>
                <c:pt idx="4" formatCode="General">
                  <c:v>3.9</c:v>
                </c:pt>
                <c:pt idx="5" formatCode="General">
                  <c:v>3.1</c:v>
                </c:pt>
                <c:pt idx="6">
                  <c:v>5.4666666666666668</c:v>
                </c:pt>
                <c:pt idx="7">
                  <c:v>4.2</c:v>
                </c:pt>
              </c:numCache>
            </c:numRef>
          </c:val>
          <c:extLst>
            <c:ext xmlns:c16="http://schemas.microsoft.com/office/drawing/2014/chart" uri="{C3380CC4-5D6E-409C-BE32-E72D297353CC}">
              <c16:uniqueId val="{00000000-1E90-40C0-927C-F64D36681F0C}"/>
            </c:ext>
          </c:extLst>
        </c:ser>
        <c:dLbls>
          <c:showLegendKey val="0"/>
          <c:showVal val="0"/>
          <c:showCatName val="0"/>
          <c:showSerName val="0"/>
          <c:showPercent val="0"/>
          <c:showBubbleSize val="0"/>
        </c:dLbls>
        <c:gapWidth val="219"/>
        <c:overlap val="-27"/>
        <c:axId val="107639168"/>
        <c:axId val="107640704"/>
      </c:barChart>
      <c:catAx>
        <c:axId val="10763916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7640704"/>
        <c:crosses val="autoZero"/>
        <c:auto val="1"/>
        <c:lblAlgn val="ctr"/>
        <c:lblOffset val="100"/>
        <c:noMultiLvlLbl val="0"/>
      </c:catAx>
      <c:valAx>
        <c:axId val="107640704"/>
        <c:scaling>
          <c:orientation val="minMax"/>
          <c:max val="12"/>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low"/>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7639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ha-Ertrag</a:t>
            </a:r>
            <a:r>
              <a:rPr lang="en-US" baseline="0"/>
              <a:t> </a:t>
            </a:r>
            <a:r>
              <a:rPr lang="en-US"/>
              <a:t>trocken</a:t>
            </a:r>
          </a:p>
        </c:rich>
      </c:tx>
      <c:overlay val="0"/>
      <c:spPr>
        <a:noFill/>
        <a:ln>
          <a:noFill/>
        </a:ln>
        <a:effectLst/>
      </c:spPr>
    </c:title>
    <c:autoTitleDeleted val="0"/>
    <c:plotArea>
      <c:layout/>
      <c:barChart>
        <c:barDir val="col"/>
        <c:grouping val="clustered"/>
        <c:varyColors val="0"/>
        <c:ser>
          <c:idx val="0"/>
          <c:order val="0"/>
          <c:tx>
            <c:strRef>
              <c:f>'2016_1'!$B$65</c:f>
              <c:strCache>
                <c:ptCount val="1"/>
                <c:pt idx="0">
                  <c:v>ha-Ertrag
trocken</c:v>
                </c:pt>
              </c:strCache>
            </c:strRef>
          </c:tx>
          <c:spPr>
            <a:solidFill>
              <a:schemeClr val="bg1"/>
            </a:solidFill>
            <a:ln>
              <a:solidFill>
                <a:schemeClr val="tx1"/>
              </a:solidFill>
            </a:ln>
            <a:effectLst/>
          </c:spPr>
          <c:invertIfNegative val="0"/>
          <c:cat>
            <c:strRef>
              <c:f>'2016_1'!$A$66:$A$69</c:f>
              <c:strCache>
                <c:ptCount val="4"/>
                <c:pt idx="0">
                  <c:v> dianem </c:v>
                </c:pt>
                <c:pt idx="1">
                  <c:v> dianem+Rhizovital</c:v>
                </c:pt>
                <c:pt idx="2">
                  <c:v>UK</c:v>
                </c:pt>
                <c:pt idx="3">
                  <c:v> Belem</c:v>
                </c:pt>
              </c:strCache>
            </c:strRef>
          </c:cat>
          <c:val>
            <c:numRef>
              <c:f>'2016_1'!$B$66:$B$69</c:f>
              <c:numCache>
                <c:formatCode>General</c:formatCode>
                <c:ptCount val="4"/>
                <c:pt idx="0">
                  <c:v>13019.317611640743</c:v>
                </c:pt>
                <c:pt idx="1">
                  <c:v>12638.596682969477</c:v>
                </c:pt>
                <c:pt idx="2">
                  <c:v>12520.540657031639</c:v>
                </c:pt>
                <c:pt idx="3">
                  <c:v>12041.138775749982</c:v>
                </c:pt>
              </c:numCache>
            </c:numRef>
          </c:val>
          <c:extLst>
            <c:ext xmlns:c16="http://schemas.microsoft.com/office/drawing/2014/chart" uri="{C3380CC4-5D6E-409C-BE32-E72D297353CC}">
              <c16:uniqueId val="{00000000-5517-4DF4-AB0D-5B08B84427CA}"/>
            </c:ext>
          </c:extLst>
        </c:ser>
        <c:dLbls>
          <c:showLegendKey val="0"/>
          <c:showVal val="0"/>
          <c:showCatName val="0"/>
          <c:showSerName val="0"/>
          <c:showPercent val="0"/>
          <c:showBubbleSize val="0"/>
        </c:dLbls>
        <c:gapWidth val="219"/>
        <c:overlap val="-27"/>
        <c:axId val="107661184"/>
        <c:axId val="107662720"/>
      </c:barChart>
      <c:catAx>
        <c:axId val="107661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7662720"/>
        <c:crosses val="autoZero"/>
        <c:auto val="1"/>
        <c:lblAlgn val="ctr"/>
        <c:lblOffset val="100"/>
        <c:noMultiLvlLbl val="0"/>
      </c:catAx>
      <c:valAx>
        <c:axId val="10766272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7661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AT"/>
              <a:t>Käferfänge in PAL-Klebefallen und Käferschlupf in den Photoeklektoren;</a:t>
            </a:r>
            <a:r>
              <a:rPr lang="de-AT" baseline="0"/>
              <a:t> n=&gt;8</a:t>
            </a:r>
            <a:endParaRPr lang="de-AT"/>
          </a:p>
        </c:rich>
      </c:tx>
      <c:overlay val="0"/>
      <c:spPr>
        <a:noFill/>
        <a:ln>
          <a:noFill/>
        </a:ln>
        <a:effectLst/>
      </c:spPr>
    </c:title>
    <c:autoTitleDeleted val="0"/>
    <c:plotArea>
      <c:layout/>
      <c:barChart>
        <c:barDir val="col"/>
        <c:grouping val="clustered"/>
        <c:varyColors val="0"/>
        <c:ser>
          <c:idx val="2"/>
          <c:order val="2"/>
          <c:tx>
            <c:strRef>
              <c:f>'Diacont 10.8.2017'!$B$151</c:f>
              <c:strCache>
                <c:ptCount val="1"/>
                <c:pt idx="0">
                  <c:v>Mittelwert Käferfänge  mit PAL</c:v>
                </c:pt>
              </c:strCache>
            </c:strRef>
          </c:tx>
          <c:spPr>
            <a:solidFill>
              <a:schemeClr val="accent3"/>
            </a:solidFill>
            <a:ln>
              <a:noFill/>
            </a:ln>
            <a:effectLst/>
          </c:spPr>
          <c:invertIfNegative val="0"/>
          <c:cat>
            <c:strRef>
              <c:f>'Diacont 10.8.2017'!$A$152:$A$168</c:f>
              <c:strCache>
                <c:ptCount val="17"/>
                <c:pt idx="0">
                  <c:v>Gersdorf MAS 40 F 1. Jahr</c:v>
                </c:pt>
                <c:pt idx="1">
                  <c:v>Gersdorf Belem Sonja</c:v>
                </c:pt>
                <c:pt idx="2">
                  <c:v> Lichendorf 1 Memoxx 4. Jahr</c:v>
                </c:pt>
                <c:pt idx="3">
                  <c:v>Schwarza 1 MAS 40 F 1. Jahr</c:v>
                </c:pt>
                <c:pt idx="4">
                  <c:v>Schwarza 1 Belem DKC4007</c:v>
                </c:pt>
                <c:pt idx="5">
                  <c:v>Lichendorf 2 MAS 40 F 1. Jahr</c:v>
                </c:pt>
                <c:pt idx="6">
                  <c:v>Schwarza 2 MAS 47 P 2. Jahr</c:v>
                </c:pt>
                <c:pt idx="7">
                  <c:v>Schwarza 3 Sortenversuch 2. Jahr</c:v>
                </c:pt>
                <c:pt idx="8">
                  <c:v>Lichendorf V Ferarixx 4. Jahr</c:v>
                </c:pt>
                <c:pt idx="9">
                  <c:v>Lichendorf V Belem Ferarixx 4. Jahr</c:v>
                </c:pt>
                <c:pt idx="10">
                  <c:v>Lichendorf V UK Ferarixx 4. Jahr</c:v>
                </c:pt>
                <c:pt idx="11">
                  <c:v>Lichendorf 3 MAS 47 P 4. Jahr</c:v>
                </c:pt>
                <c:pt idx="12">
                  <c:v>Schwarza 4 MAS 47 P 2. Jahr</c:v>
                </c:pt>
                <c:pt idx="13">
                  <c:v>Schwarza V MAS 40 F 6. Jahr</c:v>
                </c:pt>
                <c:pt idx="14">
                  <c:v>Schwarza V Belem MAS 40 F 6. Jahr</c:v>
                </c:pt>
                <c:pt idx="15">
                  <c:v>Schwarza V UK MAS 40 F 6. Jahr</c:v>
                </c:pt>
                <c:pt idx="16">
                  <c:v>Lichendorf 4 Ferarixx 1. Jahr</c:v>
                </c:pt>
              </c:strCache>
            </c:strRef>
          </c:cat>
          <c:val>
            <c:numRef>
              <c:f>'Diacont 10.8.2017'!$B$152:$B$168</c:f>
              <c:numCache>
                <c:formatCode>General</c:formatCode>
                <c:ptCount val="17"/>
                <c:pt idx="0">
                  <c:v>12.1</c:v>
                </c:pt>
                <c:pt idx="1">
                  <c:v>9.3000000000000007</c:v>
                </c:pt>
                <c:pt idx="2" formatCode="0.0">
                  <c:v>26.555555555555557</c:v>
                </c:pt>
                <c:pt idx="3" formatCode="0.0">
                  <c:v>28</c:v>
                </c:pt>
                <c:pt idx="4" formatCode="0.0">
                  <c:v>14.8</c:v>
                </c:pt>
                <c:pt idx="5" formatCode="0.0">
                  <c:v>77.900000000000006</c:v>
                </c:pt>
                <c:pt idx="6" formatCode="0.0">
                  <c:v>105.3</c:v>
                </c:pt>
                <c:pt idx="7" formatCode="0.0">
                  <c:v>179</c:v>
                </c:pt>
                <c:pt idx="8" formatCode="0.0">
                  <c:v>101.5</c:v>
                </c:pt>
                <c:pt idx="9" formatCode="0.0">
                  <c:v>148.75</c:v>
                </c:pt>
                <c:pt idx="10" formatCode="0.0">
                  <c:v>296</c:v>
                </c:pt>
                <c:pt idx="11" formatCode="0.0">
                  <c:v>385.7</c:v>
                </c:pt>
                <c:pt idx="12" formatCode="0.0">
                  <c:v>166.5</c:v>
                </c:pt>
                <c:pt idx="13" formatCode="0.0">
                  <c:v>134.75</c:v>
                </c:pt>
                <c:pt idx="14" formatCode="0.0">
                  <c:v>250.875</c:v>
                </c:pt>
                <c:pt idx="15" formatCode="0.0">
                  <c:v>259.5</c:v>
                </c:pt>
                <c:pt idx="16" formatCode="0.0">
                  <c:v>73.3</c:v>
                </c:pt>
              </c:numCache>
            </c:numRef>
          </c:val>
          <c:extLst>
            <c:ext xmlns:c16="http://schemas.microsoft.com/office/drawing/2014/chart" uri="{C3380CC4-5D6E-409C-BE32-E72D297353CC}">
              <c16:uniqueId val="{00000000-6701-4D66-9175-707DDAEBDFCD}"/>
            </c:ext>
          </c:extLst>
        </c:ser>
        <c:dLbls>
          <c:showLegendKey val="0"/>
          <c:showVal val="0"/>
          <c:showCatName val="0"/>
          <c:showSerName val="0"/>
          <c:showPercent val="0"/>
          <c:showBubbleSize val="0"/>
        </c:dLbls>
        <c:gapWidth val="35"/>
        <c:axId val="107995904"/>
        <c:axId val="107997824"/>
      </c:barChart>
      <c:barChart>
        <c:barDir val="col"/>
        <c:grouping val="clustered"/>
        <c:varyColors val="0"/>
        <c:ser>
          <c:idx val="0"/>
          <c:order val="0"/>
          <c:tx>
            <c:strRef>
              <c:f>'Diacont 10.8.2017'!$D$151</c:f>
              <c:strCache>
                <c:ptCount val="1"/>
                <c:pt idx="0">
                  <c:v>Mittelwert Schlupf in Photoeklektor</c:v>
                </c:pt>
              </c:strCache>
            </c:strRef>
          </c:tx>
          <c:spPr>
            <a:solidFill>
              <a:schemeClr val="accent1"/>
            </a:solidFill>
            <a:ln>
              <a:noFill/>
            </a:ln>
            <a:effectLst/>
          </c:spPr>
          <c:invertIfNegative val="0"/>
          <c:dPt>
            <c:idx val="1"/>
            <c:invertIfNegative val="0"/>
            <c:bubble3D val="0"/>
            <c:spPr>
              <a:solidFill>
                <a:srgbClr val="FFC000"/>
              </a:solidFill>
              <a:ln>
                <a:solidFill>
                  <a:schemeClr val="accent1"/>
                </a:solidFill>
              </a:ln>
              <a:effectLst/>
            </c:spPr>
            <c:extLst>
              <c:ext xmlns:c16="http://schemas.microsoft.com/office/drawing/2014/chart" uri="{C3380CC4-5D6E-409C-BE32-E72D297353CC}">
                <c16:uniqueId val="{00000002-6701-4D66-9175-707DDAEBDFCD}"/>
              </c:ext>
            </c:extLst>
          </c:dPt>
          <c:dPt>
            <c:idx val="3"/>
            <c:invertIfNegative val="0"/>
            <c:bubble3D val="0"/>
            <c:spPr>
              <a:solidFill>
                <a:schemeClr val="accent1"/>
              </a:solidFill>
              <a:ln>
                <a:solidFill>
                  <a:schemeClr val="accent1"/>
                </a:solidFill>
              </a:ln>
              <a:effectLst/>
            </c:spPr>
            <c:extLst>
              <c:ext xmlns:c16="http://schemas.microsoft.com/office/drawing/2014/chart" uri="{C3380CC4-5D6E-409C-BE32-E72D297353CC}">
                <c16:uniqueId val="{00000004-6701-4D66-9175-707DDAEBDFCD}"/>
              </c:ext>
            </c:extLst>
          </c:dPt>
          <c:dPt>
            <c:idx val="4"/>
            <c:invertIfNegative val="0"/>
            <c:bubble3D val="0"/>
            <c:spPr>
              <a:solidFill>
                <a:srgbClr val="FFC000"/>
              </a:solidFill>
              <a:ln>
                <a:solidFill>
                  <a:schemeClr val="accent1"/>
                </a:solidFill>
              </a:ln>
              <a:effectLst/>
            </c:spPr>
            <c:extLst>
              <c:ext xmlns:c16="http://schemas.microsoft.com/office/drawing/2014/chart" uri="{C3380CC4-5D6E-409C-BE32-E72D297353CC}">
                <c16:uniqueId val="{00000006-6701-4D66-9175-707DDAEBDFCD}"/>
              </c:ext>
            </c:extLst>
          </c:dPt>
          <c:dPt>
            <c:idx val="9"/>
            <c:invertIfNegative val="0"/>
            <c:bubble3D val="0"/>
            <c:spPr>
              <a:solidFill>
                <a:srgbClr val="FFC000"/>
              </a:solidFill>
              <a:ln>
                <a:solidFill>
                  <a:schemeClr val="accent1"/>
                </a:solidFill>
              </a:ln>
              <a:effectLst/>
            </c:spPr>
            <c:extLst>
              <c:ext xmlns:c16="http://schemas.microsoft.com/office/drawing/2014/chart" uri="{C3380CC4-5D6E-409C-BE32-E72D297353CC}">
                <c16:uniqueId val="{00000008-6701-4D66-9175-707DDAEBDFCD}"/>
              </c:ext>
            </c:extLst>
          </c:dPt>
          <c:dPt>
            <c:idx val="10"/>
            <c:invertIfNegative val="0"/>
            <c:bubble3D val="0"/>
            <c:spPr>
              <a:solidFill>
                <a:srgbClr val="FF0000"/>
              </a:solidFill>
              <a:ln>
                <a:solidFill>
                  <a:schemeClr val="accent1"/>
                </a:solidFill>
              </a:ln>
              <a:effectLst/>
            </c:spPr>
            <c:extLst>
              <c:ext xmlns:c16="http://schemas.microsoft.com/office/drawing/2014/chart" uri="{C3380CC4-5D6E-409C-BE32-E72D297353CC}">
                <c16:uniqueId val="{0000000A-6701-4D66-9175-707DDAEBDFCD}"/>
              </c:ext>
            </c:extLst>
          </c:dPt>
          <c:dPt>
            <c:idx val="14"/>
            <c:invertIfNegative val="0"/>
            <c:bubble3D val="0"/>
            <c:spPr>
              <a:solidFill>
                <a:srgbClr val="FFC000"/>
              </a:solidFill>
              <a:ln>
                <a:solidFill>
                  <a:schemeClr val="accent1"/>
                </a:solidFill>
              </a:ln>
              <a:effectLst/>
            </c:spPr>
            <c:extLst>
              <c:ext xmlns:c16="http://schemas.microsoft.com/office/drawing/2014/chart" uri="{C3380CC4-5D6E-409C-BE32-E72D297353CC}">
                <c16:uniqueId val="{0000000C-6701-4D66-9175-707DDAEBDFCD}"/>
              </c:ext>
            </c:extLst>
          </c:dPt>
          <c:dPt>
            <c:idx val="15"/>
            <c:invertIfNegative val="0"/>
            <c:bubble3D val="0"/>
            <c:spPr>
              <a:solidFill>
                <a:srgbClr val="FF0000"/>
              </a:solidFill>
              <a:ln>
                <a:solidFill>
                  <a:schemeClr val="accent1"/>
                </a:solidFill>
              </a:ln>
              <a:effectLst/>
            </c:spPr>
            <c:extLst>
              <c:ext xmlns:c16="http://schemas.microsoft.com/office/drawing/2014/chart" uri="{C3380CC4-5D6E-409C-BE32-E72D297353CC}">
                <c16:uniqueId val="{0000000E-6701-4D66-9175-707DDAEBDFCD}"/>
              </c:ext>
            </c:extLst>
          </c:dPt>
          <c:cat>
            <c:strRef>
              <c:f>'Diacont 10.8.2017'!$A$152:$A$168</c:f>
              <c:strCache>
                <c:ptCount val="17"/>
                <c:pt idx="0">
                  <c:v>Gersdorf MAS 40 F 1. Jahr</c:v>
                </c:pt>
                <c:pt idx="1">
                  <c:v>Gersdorf Belem Sonja</c:v>
                </c:pt>
                <c:pt idx="2">
                  <c:v> Lichendorf 1 Memoxx 4. Jahr</c:v>
                </c:pt>
                <c:pt idx="3">
                  <c:v>Schwarza 1 MAS 40 F 1. Jahr</c:v>
                </c:pt>
                <c:pt idx="4">
                  <c:v>Schwarza 1 Belem DKC4007</c:v>
                </c:pt>
                <c:pt idx="5">
                  <c:v>Lichendorf 2 MAS 40 F 1. Jahr</c:v>
                </c:pt>
                <c:pt idx="6">
                  <c:v>Schwarza 2 MAS 47 P 2. Jahr</c:v>
                </c:pt>
                <c:pt idx="7">
                  <c:v>Schwarza 3 Sortenversuch 2. Jahr</c:v>
                </c:pt>
                <c:pt idx="8">
                  <c:v>Lichendorf V Ferarixx 4. Jahr</c:v>
                </c:pt>
                <c:pt idx="9">
                  <c:v>Lichendorf V Belem Ferarixx 4. Jahr</c:v>
                </c:pt>
                <c:pt idx="10">
                  <c:v>Lichendorf V UK Ferarixx 4. Jahr</c:v>
                </c:pt>
                <c:pt idx="11">
                  <c:v>Lichendorf 3 MAS 47 P 4. Jahr</c:v>
                </c:pt>
                <c:pt idx="12">
                  <c:v>Schwarza 4 MAS 47 P 2. Jahr</c:v>
                </c:pt>
                <c:pt idx="13">
                  <c:v>Schwarza V MAS 40 F 6. Jahr</c:v>
                </c:pt>
                <c:pt idx="14">
                  <c:v>Schwarza V Belem MAS 40 F 6. Jahr</c:v>
                </c:pt>
                <c:pt idx="15">
                  <c:v>Schwarza V UK MAS 40 F 6. Jahr</c:v>
                </c:pt>
                <c:pt idx="16">
                  <c:v>Lichendorf 4 Ferarixx 1. Jahr</c:v>
                </c:pt>
              </c:strCache>
            </c:strRef>
          </c:cat>
          <c:val>
            <c:numRef>
              <c:f>'Diacont 10.8.2017'!$D$152:$D$168</c:f>
              <c:numCache>
                <c:formatCode>General</c:formatCode>
                <c:ptCount val="17"/>
                <c:pt idx="0">
                  <c:v>1.7</c:v>
                </c:pt>
                <c:pt idx="1">
                  <c:v>1.8</c:v>
                </c:pt>
                <c:pt idx="2">
                  <c:v>4</c:v>
                </c:pt>
                <c:pt idx="3">
                  <c:v>2.2999999999999998</c:v>
                </c:pt>
                <c:pt idx="4">
                  <c:v>3.3</c:v>
                </c:pt>
                <c:pt idx="5">
                  <c:v>5.2</c:v>
                </c:pt>
                <c:pt idx="6">
                  <c:v>8.1</c:v>
                </c:pt>
                <c:pt idx="7">
                  <c:v>12.1</c:v>
                </c:pt>
                <c:pt idx="8">
                  <c:v>5.25</c:v>
                </c:pt>
                <c:pt idx="9">
                  <c:v>13</c:v>
                </c:pt>
                <c:pt idx="10">
                  <c:v>17.875</c:v>
                </c:pt>
                <c:pt idx="11">
                  <c:v>7.9</c:v>
                </c:pt>
                <c:pt idx="12">
                  <c:v>9</c:v>
                </c:pt>
                <c:pt idx="13">
                  <c:v>23.625</c:v>
                </c:pt>
                <c:pt idx="14">
                  <c:v>27.875</c:v>
                </c:pt>
                <c:pt idx="15">
                  <c:v>26.125</c:v>
                </c:pt>
                <c:pt idx="16">
                  <c:v>3</c:v>
                </c:pt>
              </c:numCache>
            </c:numRef>
          </c:val>
          <c:extLst>
            <c:ext xmlns:c16="http://schemas.microsoft.com/office/drawing/2014/chart" uri="{C3380CC4-5D6E-409C-BE32-E72D297353CC}">
              <c16:uniqueId val="{0000000F-6701-4D66-9175-707DDAEBDFCD}"/>
            </c:ext>
          </c:extLst>
        </c:ser>
        <c:dLbls>
          <c:showLegendKey val="0"/>
          <c:showVal val="0"/>
          <c:showCatName val="0"/>
          <c:showSerName val="0"/>
          <c:showPercent val="0"/>
          <c:showBubbleSize val="0"/>
        </c:dLbls>
        <c:gapWidth val="219"/>
        <c:axId val="108001920"/>
        <c:axId val="108000000"/>
        <c:extLst>
          <c:ext xmlns:c15="http://schemas.microsoft.com/office/drawing/2012/chart" uri="{02D57815-91ED-43cb-92C2-25804820EDAC}">
            <c15:filteredBarSeries>
              <c15:ser>
                <c:idx val="1"/>
                <c:order val="1"/>
                <c:tx>
                  <c:strRef>
                    <c:extLst>
                      <c:ext uri="{02D57815-91ED-43cb-92C2-25804820EDAC}">
                        <c15:formulaRef>
                          <c15:sqref>'Diacont 10.8.2017'!$E$151</c15:sqref>
                        </c15:formulaRef>
                      </c:ext>
                    </c:extLst>
                    <c:strCache>
                      <c:ptCount val="1"/>
                      <c:pt idx="0">
                        <c:v>Stabw</c:v>
                      </c:pt>
                    </c:strCache>
                  </c:strRef>
                </c:tx>
                <c:spPr>
                  <a:solidFill>
                    <a:schemeClr val="accent2"/>
                  </a:solidFill>
                  <a:ln>
                    <a:noFill/>
                  </a:ln>
                  <a:effectLst/>
                </c:spPr>
                <c:invertIfNegative val="0"/>
                <c:cat>
                  <c:strRef>
                    <c:extLst>
                      <c:ext uri="{02D57815-91ED-43cb-92C2-25804820EDAC}">
                        <c15:formulaRef>
                          <c15:sqref>'Diacont 10.8.2017'!$A$152:$A$168</c15:sqref>
                        </c15:formulaRef>
                      </c:ext>
                    </c:extLst>
                    <c:strCache>
                      <c:ptCount val="17"/>
                      <c:pt idx="0">
                        <c:v>Gersdorf MAS 40 F 1. Jahr</c:v>
                      </c:pt>
                      <c:pt idx="1">
                        <c:v>Gersdorf Belem Sonja</c:v>
                      </c:pt>
                      <c:pt idx="2">
                        <c:v> Lichendorf 1 Memoxx 4. Jahr</c:v>
                      </c:pt>
                      <c:pt idx="3">
                        <c:v>Schwarza 1 MAS 40 F 1. Jahr</c:v>
                      </c:pt>
                      <c:pt idx="4">
                        <c:v>Schwarza 1 Belem DKC4007</c:v>
                      </c:pt>
                      <c:pt idx="5">
                        <c:v>Lichendorf 2 MAS 40 F 1. Jahr</c:v>
                      </c:pt>
                      <c:pt idx="6">
                        <c:v>Schwarza 2 MAS 47 P 2. Jahr</c:v>
                      </c:pt>
                      <c:pt idx="7">
                        <c:v>Schwarza 3 Sortenversuch 2. Jahr</c:v>
                      </c:pt>
                      <c:pt idx="8">
                        <c:v>Lichendorf V Ferarixx 4. Jahr</c:v>
                      </c:pt>
                      <c:pt idx="9">
                        <c:v>Lichendorf V Belem Ferarixx 4. Jahr</c:v>
                      </c:pt>
                      <c:pt idx="10">
                        <c:v>Lichendorf V UK Ferarixx 4. Jahr</c:v>
                      </c:pt>
                      <c:pt idx="11">
                        <c:v>Lichendorf 3 MAS 47 P 4. Jahr</c:v>
                      </c:pt>
                      <c:pt idx="12">
                        <c:v>Schwarza 4 MAS 47 P 2. Jahr</c:v>
                      </c:pt>
                      <c:pt idx="13">
                        <c:v>Schwarza V MAS 40 F 6. Jahr</c:v>
                      </c:pt>
                      <c:pt idx="14">
                        <c:v>Schwarza V Belem MAS 40 F 6. Jahr</c:v>
                      </c:pt>
                      <c:pt idx="15">
                        <c:v>Schwarza V UK MAS 40 F 6. Jahr</c:v>
                      </c:pt>
                      <c:pt idx="16">
                        <c:v>Lichendorf 4 Ferarixx 1. Jahr</c:v>
                      </c:pt>
                    </c:strCache>
                  </c:strRef>
                </c:cat>
                <c:val>
                  <c:numRef>
                    <c:extLst>
                      <c:ext uri="{02D57815-91ED-43cb-92C2-25804820EDAC}">
                        <c15:formulaRef>
                          <c15:sqref>'Diacont 10.8.2017'!$E$152:$E$168</c15:sqref>
                        </c15:formulaRef>
                      </c:ext>
                    </c:extLst>
                    <c:numCache>
                      <c:formatCode>General</c:formatCode>
                      <c:ptCount val="17"/>
                      <c:pt idx="0">
                        <c:v>3.1287200080686173</c:v>
                      </c:pt>
                      <c:pt idx="1">
                        <c:v>4.3919117578668274</c:v>
                      </c:pt>
                      <c:pt idx="2">
                        <c:v>4.2426406871192848</c:v>
                      </c:pt>
                      <c:pt idx="3">
                        <c:v>2.9078437983419185</c:v>
                      </c:pt>
                      <c:pt idx="4">
                        <c:v>4.2959929650263113</c:v>
                      </c:pt>
                      <c:pt idx="5">
                        <c:v>3.7058512292499461</c:v>
                      </c:pt>
                      <c:pt idx="6">
                        <c:v>4.7714428286071566</c:v>
                      </c:pt>
                      <c:pt idx="7">
                        <c:v>6.6574936892363805</c:v>
                      </c:pt>
                      <c:pt idx="8">
                        <c:v>4.9208013284713816</c:v>
                      </c:pt>
                      <c:pt idx="9">
                        <c:v>8.9602295888952703</c:v>
                      </c:pt>
                      <c:pt idx="10">
                        <c:v>9.5832815733591854</c:v>
                      </c:pt>
                      <c:pt idx="11">
                        <c:v>6.0452001161619489</c:v>
                      </c:pt>
                      <c:pt idx="12">
                        <c:v>6.2716292407422598</c:v>
                      </c:pt>
                      <c:pt idx="13">
                        <c:v>15.089613267788826</c:v>
                      </c:pt>
                      <c:pt idx="14">
                        <c:v>15.751984002023365</c:v>
                      </c:pt>
                      <c:pt idx="15">
                        <c:v>13.314197577881183</c:v>
                      </c:pt>
                      <c:pt idx="16">
                        <c:v>1.8856180831641267</c:v>
                      </c:pt>
                    </c:numCache>
                  </c:numRef>
                </c:val>
                <c:extLst>
                  <c:ext xmlns:c16="http://schemas.microsoft.com/office/drawing/2014/chart" uri="{C3380CC4-5D6E-409C-BE32-E72D297353CC}">
                    <c16:uniqueId val="{00000011-6701-4D66-9175-707DDAEBDFCD}"/>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'Diacont 10.8.2017'!$C$151</c15:sqref>
                        </c15:formulaRef>
                      </c:ext>
                    </c:extLst>
                    <c:strCache>
                      <c:ptCount val="1"/>
                      <c:pt idx="0">
                        <c:v>Stabw</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'Diacont 10.8.2017'!$A$152:$A$168</c15:sqref>
                        </c15:formulaRef>
                      </c:ext>
                    </c:extLst>
                    <c:strCache>
                      <c:ptCount val="17"/>
                      <c:pt idx="0">
                        <c:v>Gersdorf MAS 40 F 1. Jahr</c:v>
                      </c:pt>
                      <c:pt idx="1">
                        <c:v>Gersdorf Belem Sonja</c:v>
                      </c:pt>
                      <c:pt idx="2">
                        <c:v> Lichendorf 1 Memoxx 4. Jahr</c:v>
                      </c:pt>
                      <c:pt idx="3">
                        <c:v>Schwarza 1 MAS 40 F 1. Jahr</c:v>
                      </c:pt>
                      <c:pt idx="4">
                        <c:v>Schwarza 1 Belem DKC4007</c:v>
                      </c:pt>
                      <c:pt idx="5">
                        <c:v>Lichendorf 2 MAS 40 F 1. Jahr</c:v>
                      </c:pt>
                      <c:pt idx="6">
                        <c:v>Schwarza 2 MAS 47 P 2. Jahr</c:v>
                      </c:pt>
                      <c:pt idx="7">
                        <c:v>Schwarza 3 Sortenversuch 2. Jahr</c:v>
                      </c:pt>
                      <c:pt idx="8">
                        <c:v>Lichendorf V Ferarixx 4. Jahr</c:v>
                      </c:pt>
                      <c:pt idx="9">
                        <c:v>Lichendorf V Belem Ferarixx 4. Jahr</c:v>
                      </c:pt>
                      <c:pt idx="10">
                        <c:v>Lichendorf V UK Ferarixx 4. Jahr</c:v>
                      </c:pt>
                      <c:pt idx="11">
                        <c:v>Lichendorf 3 MAS 47 P 4. Jahr</c:v>
                      </c:pt>
                      <c:pt idx="12">
                        <c:v>Schwarza 4 MAS 47 P 2. Jahr</c:v>
                      </c:pt>
                      <c:pt idx="13">
                        <c:v>Schwarza V MAS 40 F 6. Jahr</c:v>
                      </c:pt>
                      <c:pt idx="14">
                        <c:v>Schwarza V Belem MAS 40 F 6. Jahr</c:v>
                      </c:pt>
                      <c:pt idx="15">
                        <c:v>Schwarza V UK MAS 40 F 6. Jahr</c:v>
                      </c:pt>
                      <c:pt idx="16">
                        <c:v>Lichendorf 4 Ferarixx 1. Jahr</c:v>
                      </c:pt>
                    </c:strCache>
                  </c:strRef>
                </c:cat>
                <c:val>
                  <c:numRef>
                    <c:extLst xmlns:c15="http://schemas.microsoft.com/office/drawing/2012/chart">
                      <c:ext xmlns:c15="http://schemas.microsoft.com/office/drawing/2012/chart" uri="{02D57815-91ED-43cb-92C2-25804820EDAC}">
                        <c15:formulaRef>
                          <c15:sqref>'Diacont 10.8.2017'!$C$152:$C$168</c15:sqref>
                        </c15:formulaRef>
                      </c:ext>
                    </c:extLst>
                    <c:numCache>
                      <c:formatCode>General</c:formatCode>
                      <c:ptCount val="17"/>
                      <c:pt idx="0">
                        <c:v>6.983313444681305</c:v>
                      </c:pt>
                      <c:pt idx="1">
                        <c:v>7.1499805749541885</c:v>
                      </c:pt>
                      <c:pt idx="2">
                        <c:v>12.768233150196538</c:v>
                      </c:pt>
                      <c:pt idx="3">
                        <c:v>12.675435561221029</c:v>
                      </c:pt>
                      <c:pt idx="4">
                        <c:v>4.5898438608156003</c:v>
                      </c:pt>
                      <c:pt idx="5">
                        <c:v>17.990429554503574</c:v>
                      </c:pt>
                      <c:pt idx="6">
                        <c:v>24.944605295200283</c:v>
                      </c:pt>
                      <c:pt idx="7">
                        <c:v>37.74770044504551</c:v>
                      </c:pt>
                      <c:pt idx="8">
                        <c:v>35.681127464569521</c:v>
                      </c:pt>
                      <c:pt idx="9">
                        <c:v>46.588625221184621</c:v>
                      </c:pt>
                      <c:pt idx="10">
                        <c:v>113.36414147087504</c:v>
                      </c:pt>
                      <c:pt idx="11">
                        <c:v>78.789522710122441</c:v>
                      </c:pt>
                      <c:pt idx="12">
                        <c:v>100.16569605741611</c:v>
                      </c:pt>
                      <c:pt idx="13">
                        <c:v>29.089762558575234</c:v>
                      </c:pt>
                      <c:pt idx="14">
                        <c:v>77.100004632202939</c:v>
                      </c:pt>
                      <c:pt idx="15">
                        <c:v>33.763886032268267</c:v>
                      </c:pt>
                      <c:pt idx="16">
                        <c:v>29.276649777975315</c:v>
                      </c:pt>
                    </c:numCache>
                  </c:numRef>
                </c:val>
                <c:extLst xmlns:c15="http://schemas.microsoft.com/office/drawing/2012/chart">
                  <c:ext xmlns:c16="http://schemas.microsoft.com/office/drawing/2014/chart" uri="{C3380CC4-5D6E-409C-BE32-E72D297353CC}">
                    <c16:uniqueId val="{00000012-6701-4D66-9175-707DDAEBDFCD}"/>
                  </c:ext>
                </c:extLst>
              </c15:ser>
            </c15:filteredBarSeries>
          </c:ext>
        </c:extLst>
      </c:barChart>
      <c:lineChart>
        <c:grouping val="standard"/>
        <c:varyColors val="0"/>
        <c:ser>
          <c:idx val="4"/>
          <c:order val="4"/>
          <c:tx>
            <c:strRef>
              <c:f>'Diacont 10.8.2017'!$F$151</c:f>
              <c:strCache>
                <c:ptCount val="1"/>
                <c:pt idx="0">
                  <c:v>Entferung zu Mur</c:v>
                </c:pt>
              </c:strCache>
            </c:strRef>
          </c:tx>
          <c:spPr>
            <a:ln w="28575" cap="rnd">
              <a:solidFill>
                <a:schemeClr val="accent5"/>
              </a:solidFill>
              <a:round/>
            </a:ln>
            <a:effectLst/>
          </c:spPr>
          <c:marker>
            <c:symbol val="none"/>
          </c:marker>
          <c:cat>
            <c:strRef>
              <c:f>'Diacont 10.8.2017'!$A$152:$A$168</c:f>
              <c:strCache>
                <c:ptCount val="17"/>
                <c:pt idx="0">
                  <c:v>Gersdorf MAS 40 F 1. Jahr</c:v>
                </c:pt>
                <c:pt idx="1">
                  <c:v>Gersdorf Belem Sonja</c:v>
                </c:pt>
                <c:pt idx="2">
                  <c:v> Lichendorf 1 Memoxx 4. Jahr</c:v>
                </c:pt>
                <c:pt idx="3">
                  <c:v>Schwarza 1 MAS 40 F 1. Jahr</c:v>
                </c:pt>
                <c:pt idx="4">
                  <c:v>Schwarza 1 Belem DKC4007</c:v>
                </c:pt>
                <c:pt idx="5">
                  <c:v>Lichendorf 2 MAS 40 F 1. Jahr</c:v>
                </c:pt>
                <c:pt idx="6">
                  <c:v>Schwarza 2 MAS 47 P 2. Jahr</c:v>
                </c:pt>
                <c:pt idx="7">
                  <c:v>Schwarza 3 Sortenversuch 2. Jahr</c:v>
                </c:pt>
                <c:pt idx="8">
                  <c:v>Lichendorf V Ferarixx 4. Jahr</c:v>
                </c:pt>
                <c:pt idx="9">
                  <c:v>Lichendorf V Belem Ferarixx 4. Jahr</c:v>
                </c:pt>
                <c:pt idx="10">
                  <c:v>Lichendorf V UK Ferarixx 4. Jahr</c:v>
                </c:pt>
                <c:pt idx="11">
                  <c:v>Lichendorf 3 MAS 47 P 4. Jahr</c:v>
                </c:pt>
                <c:pt idx="12">
                  <c:v>Schwarza 4 MAS 47 P 2. Jahr</c:v>
                </c:pt>
                <c:pt idx="13">
                  <c:v>Schwarza V MAS 40 F 6. Jahr</c:v>
                </c:pt>
                <c:pt idx="14">
                  <c:v>Schwarza V Belem MAS 40 F 6. Jahr</c:v>
                </c:pt>
                <c:pt idx="15">
                  <c:v>Schwarza V UK MAS 40 F 6. Jahr</c:v>
                </c:pt>
                <c:pt idx="16">
                  <c:v>Lichendorf 4 Ferarixx 1. Jahr</c:v>
                </c:pt>
              </c:strCache>
            </c:strRef>
          </c:cat>
          <c:val>
            <c:numRef>
              <c:f>'Diacont 10.8.2017'!$F$152:$F$168</c:f>
              <c:numCache>
                <c:formatCode>General</c:formatCode>
                <c:ptCount val="17"/>
                <c:pt idx="0">
                  <c:v>150</c:v>
                </c:pt>
                <c:pt idx="1">
                  <c:v>150</c:v>
                </c:pt>
                <c:pt idx="2">
                  <c:v>280</c:v>
                </c:pt>
                <c:pt idx="3">
                  <c:v>380</c:v>
                </c:pt>
                <c:pt idx="4">
                  <c:v>340</c:v>
                </c:pt>
                <c:pt idx="5">
                  <c:v>540</c:v>
                </c:pt>
                <c:pt idx="6">
                  <c:v>820</c:v>
                </c:pt>
                <c:pt idx="7">
                  <c:v>950</c:v>
                </c:pt>
                <c:pt idx="8">
                  <c:v>1130</c:v>
                </c:pt>
                <c:pt idx="9">
                  <c:v>1130</c:v>
                </c:pt>
                <c:pt idx="10">
                  <c:v>1130</c:v>
                </c:pt>
                <c:pt idx="11">
                  <c:v>1340</c:v>
                </c:pt>
                <c:pt idx="12">
                  <c:v>1590</c:v>
                </c:pt>
                <c:pt idx="13">
                  <c:v>1620</c:v>
                </c:pt>
                <c:pt idx="14">
                  <c:v>1620</c:v>
                </c:pt>
                <c:pt idx="15">
                  <c:v>1620</c:v>
                </c:pt>
                <c:pt idx="16">
                  <c:v>1830</c:v>
                </c:pt>
              </c:numCache>
            </c:numRef>
          </c:val>
          <c:smooth val="0"/>
          <c:extLst>
            <c:ext xmlns:c16="http://schemas.microsoft.com/office/drawing/2014/chart" uri="{C3380CC4-5D6E-409C-BE32-E72D297353CC}">
              <c16:uniqueId val="{00000010-6701-4D66-9175-707DDAEBDFCD}"/>
            </c:ext>
          </c:extLst>
        </c:ser>
        <c:dLbls>
          <c:showLegendKey val="0"/>
          <c:showVal val="0"/>
          <c:showCatName val="0"/>
          <c:showSerName val="0"/>
          <c:showPercent val="0"/>
          <c:showBubbleSize val="0"/>
        </c:dLbls>
        <c:marker val="1"/>
        <c:smooth val="0"/>
        <c:axId val="107995904"/>
        <c:axId val="107997824"/>
      </c:lineChart>
      <c:catAx>
        <c:axId val="107995904"/>
        <c:scaling>
          <c:orientation val="minMax"/>
        </c:scaling>
        <c:delete val="0"/>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7997824"/>
        <c:crosses val="autoZero"/>
        <c:auto val="1"/>
        <c:lblAlgn val="ctr"/>
        <c:lblOffset val="100"/>
        <c:noMultiLvlLbl val="0"/>
      </c:catAx>
      <c:valAx>
        <c:axId val="107997824"/>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AT"/>
                  <a:t>Käfer pro PAL-Klebefalle</a:t>
                </a:r>
              </a:p>
            </c:rich>
          </c:tx>
          <c:layout>
            <c:manualLayout>
              <c:xMode val="edge"/>
              <c:yMode val="edge"/>
              <c:x val="3.4216364706427388E-2"/>
              <c:y val="0.18458965937268895"/>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7995904"/>
        <c:crosses val="autoZero"/>
        <c:crossBetween val="between"/>
      </c:valAx>
      <c:valAx>
        <c:axId val="108000000"/>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AT"/>
                  <a:t>Käfer pro Photoeklektor</a:t>
                </a:r>
              </a:p>
            </c:rich>
          </c:tx>
          <c:layout>
            <c:manualLayout>
              <c:xMode val="edge"/>
              <c:yMode val="edge"/>
              <c:x val="0.95314883416866403"/>
              <c:y val="0.17679558011049723"/>
            </c:manualLayout>
          </c:layout>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8001920"/>
        <c:crosses val="max"/>
        <c:crossBetween val="between"/>
      </c:valAx>
      <c:catAx>
        <c:axId val="108001920"/>
        <c:scaling>
          <c:orientation val="minMax"/>
        </c:scaling>
        <c:delete val="1"/>
        <c:axPos val="b"/>
        <c:numFmt formatCode="General" sourceLinked="1"/>
        <c:majorTickMark val="out"/>
        <c:minorTickMark val="none"/>
        <c:tickLblPos val="nextTo"/>
        <c:crossAx val="1080000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de-AT" sz="1400" b="0" i="0" baseline="0">
                <a:effectLst/>
              </a:rPr>
              <a:t>Lagerung nach Foltin gewichtet nach der Entfernung der Felder zur Mur  n=&gt; 500</a:t>
            </a:r>
            <a:endParaRPr lang="de-AT" sz="1400">
              <a:effectLst/>
            </a:endParaRPr>
          </a:p>
        </c:rich>
      </c:tx>
      <c:overlay val="0"/>
    </c:title>
    <c:autoTitleDeleted val="0"/>
    <c:plotArea>
      <c:layout/>
      <c:barChart>
        <c:barDir val="col"/>
        <c:grouping val="percentStacked"/>
        <c:varyColors val="0"/>
        <c:ser>
          <c:idx val="0"/>
          <c:order val="0"/>
          <c:tx>
            <c:strRef>
              <c:f>'Diacont 10.8.2017'!$AG$40</c:f>
              <c:strCache>
                <c:ptCount val="1"/>
                <c:pt idx="0">
                  <c:v>Pflanze aufrecht</c:v>
                </c:pt>
              </c:strCache>
            </c:strRef>
          </c:tx>
          <c:spPr>
            <a:solidFill>
              <a:schemeClr val="accent3"/>
            </a:solidFill>
          </c:spPr>
          <c:invertIfNegative val="0"/>
          <c:cat>
            <c:strRef>
              <c:f>'Diacont 10.8.2017'!$AF$41:$AF$57</c:f>
              <c:strCache>
                <c:ptCount val="17"/>
                <c:pt idx="0">
                  <c:v>Gersdorf MAS 40 F 1. Jahr</c:v>
                </c:pt>
                <c:pt idx="1">
                  <c:v>Gersdorf Belem Sonja</c:v>
                </c:pt>
                <c:pt idx="2">
                  <c:v> Lichendorf 1 Memoxx 4. Jahr</c:v>
                </c:pt>
                <c:pt idx="3">
                  <c:v>Schwarza 1 MAS 40 F 1. Jahr</c:v>
                </c:pt>
                <c:pt idx="4">
                  <c:v>Schwarza 1 Belem DKC4007</c:v>
                </c:pt>
                <c:pt idx="5">
                  <c:v>Lichendorf 2 MAS 40 F 1. Jahr</c:v>
                </c:pt>
                <c:pt idx="6">
                  <c:v>Schwarza 2 MAS 47 P 2. Jahr</c:v>
                </c:pt>
                <c:pt idx="7">
                  <c:v>Schwarza 3 Sortenversuch 2. Jahr</c:v>
                </c:pt>
                <c:pt idx="8">
                  <c:v>Lichendorf V Ferarixx 4. Jahr</c:v>
                </c:pt>
                <c:pt idx="9">
                  <c:v>Lichendorf V Belem Ferarixx 4. Jahr</c:v>
                </c:pt>
                <c:pt idx="10">
                  <c:v>Lichendorf V UK Ferarixx 4. Jahr</c:v>
                </c:pt>
                <c:pt idx="11">
                  <c:v>Lichendorf 3 MAS 47 P 4. Jahr</c:v>
                </c:pt>
                <c:pt idx="12">
                  <c:v>Schwarza 4 MAS 47 P 2. Jahr</c:v>
                </c:pt>
                <c:pt idx="13">
                  <c:v>Schwarza V MAS 40 F 6. Jahr</c:v>
                </c:pt>
                <c:pt idx="14">
                  <c:v>Schwarza V Belem MAS 40 F 6. Jahr</c:v>
                </c:pt>
                <c:pt idx="15">
                  <c:v>Schwarza V UK MAS 40 F 6. Jahr</c:v>
                </c:pt>
                <c:pt idx="16">
                  <c:v>Lichendorf 4 Ferarixx 1. Jahr</c:v>
                </c:pt>
              </c:strCache>
            </c:strRef>
          </c:cat>
          <c:val>
            <c:numRef>
              <c:f>'Diacont 10.8.2017'!$AG$41:$AG$57</c:f>
              <c:numCache>
                <c:formatCode>General</c:formatCode>
                <c:ptCount val="17"/>
                <c:pt idx="0">
                  <c:v>500</c:v>
                </c:pt>
                <c:pt idx="1">
                  <c:v>500</c:v>
                </c:pt>
                <c:pt idx="2">
                  <c:v>40</c:v>
                </c:pt>
                <c:pt idx="3">
                  <c:v>499</c:v>
                </c:pt>
                <c:pt idx="4">
                  <c:v>492</c:v>
                </c:pt>
                <c:pt idx="5">
                  <c:v>633</c:v>
                </c:pt>
                <c:pt idx="6">
                  <c:v>435</c:v>
                </c:pt>
                <c:pt idx="7">
                  <c:v>95</c:v>
                </c:pt>
                <c:pt idx="8">
                  <c:v>529</c:v>
                </c:pt>
                <c:pt idx="9">
                  <c:v>436</c:v>
                </c:pt>
                <c:pt idx="10">
                  <c:v>460</c:v>
                </c:pt>
                <c:pt idx="11">
                  <c:v>560</c:v>
                </c:pt>
                <c:pt idx="12">
                  <c:v>255</c:v>
                </c:pt>
                <c:pt idx="13">
                  <c:v>214</c:v>
                </c:pt>
                <c:pt idx="14">
                  <c:v>146</c:v>
                </c:pt>
                <c:pt idx="15">
                  <c:v>315</c:v>
                </c:pt>
                <c:pt idx="16">
                  <c:v>480</c:v>
                </c:pt>
              </c:numCache>
            </c:numRef>
          </c:val>
          <c:extLst>
            <c:ext xmlns:c16="http://schemas.microsoft.com/office/drawing/2014/chart" uri="{C3380CC4-5D6E-409C-BE32-E72D297353CC}">
              <c16:uniqueId val="{00000000-7F15-4731-9573-8401383D61B8}"/>
            </c:ext>
          </c:extLst>
        </c:ser>
        <c:ser>
          <c:idx val="2"/>
          <c:order val="2"/>
          <c:tx>
            <c:strRef>
              <c:f>'Diacont 10.8.2017'!$AI$40</c:f>
              <c:strCache>
                <c:ptCount val="1"/>
                <c:pt idx="0">
                  <c:v>Neigung bis 30  % von vertikal</c:v>
                </c:pt>
              </c:strCache>
            </c:strRef>
          </c:tx>
          <c:spPr>
            <a:solidFill>
              <a:srgbClr val="FFC000"/>
            </a:solidFill>
          </c:spPr>
          <c:invertIfNegative val="0"/>
          <c:cat>
            <c:strRef>
              <c:f>'Diacont 10.8.2017'!$AF$41:$AF$57</c:f>
              <c:strCache>
                <c:ptCount val="17"/>
                <c:pt idx="0">
                  <c:v>Gersdorf MAS 40 F 1. Jahr</c:v>
                </c:pt>
                <c:pt idx="1">
                  <c:v>Gersdorf Belem Sonja</c:v>
                </c:pt>
                <c:pt idx="2">
                  <c:v> Lichendorf 1 Memoxx 4. Jahr</c:v>
                </c:pt>
                <c:pt idx="3">
                  <c:v>Schwarza 1 MAS 40 F 1. Jahr</c:v>
                </c:pt>
                <c:pt idx="4">
                  <c:v>Schwarza 1 Belem DKC4007</c:v>
                </c:pt>
                <c:pt idx="5">
                  <c:v>Lichendorf 2 MAS 40 F 1. Jahr</c:v>
                </c:pt>
                <c:pt idx="6">
                  <c:v>Schwarza 2 MAS 47 P 2. Jahr</c:v>
                </c:pt>
                <c:pt idx="7">
                  <c:v>Schwarza 3 Sortenversuch 2. Jahr</c:v>
                </c:pt>
                <c:pt idx="8">
                  <c:v>Lichendorf V Ferarixx 4. Jahr</c:v>
                </c:pt>
                <c:pt idx="9">
                  <c:v>Lichendorf V Belem Ferarixx 4. Jahr</c:v>
                </c:pt>
                <c:pt idx="10">
                  <c:v>Lichendorf V UK Ferarixx 4. Jahr</c:v>
                </c:pt>
                <c:pt idx="11">
                  <c:v>Lichendorf 3 MAS 47 P 4. Jahr</c:v>
                </c:pt>
                <c:pt idx="12">
                  <c:v>Schwarza 4 MAS 47 P 2. Jahr</c:v>
                </c:pt>
                <c:pt idx="13">
                  <c:v>Schwarza V MAS 40 F 6. Jahr</c:v>
                </c:pt>
                <c:pt idx="14">
                  <c:v>Schwarza V Belem MAS 40 F 6. Jahr</c:v>
                </c:pt>
                <c:pt idx="15">
                  <c:v>Schwarza V UK MAS 40 F 6. Jahr</c:v>
                </c:pt>
                <c:pt idx="16">
                  <c:v>Lichendorf 4 Ferarixx 1. Jahr</c:v>
                </c:pt>
              </c:strCache>
            </c:strRef>
          </c:cat>
          <c:val>
            <c:numRef>
              <c:f>'Diacont 10.8.2017'!$AI$41:$AI$57</c:f>
              <c:numCache>
                <c:formatCode>General</c:formatCode>
                <c:ptCount val="17"/>
                <c:pt idx="0">
                  <c:v>0</c:v>
                </c:pt>
                <c:pt idx="1">
                  <c:v>0</c:v>
                </c:pt>
                <c:pt idx="2">
                  <c:v>623</c:v>
                </c:pt>
                <c:pt idx="3">
                  <c:v>1</c:v>
                </c:pt>
                <c:pt idx="4">
                  <c:v>8</c:v>
                </c:pt>
                <c:pt idx="5">
                  <c:v>47</c:v>
                </c:pt>
                <c:pt idx="6">
                  <c:v>95</c:v>
                </c:pt>
                <c:pt idx="7">
                  <c:v>421</c:v>
                </c:pt>
                <c:pt idx="8">
                  <c:v>31</c:v>
                </c:pt>
                <c:pt idx="9">
                  <c:v>190</c:v>
                </c:pt>
                <c:pt idx="10">
                  <c:v>37</c:v>
                </c:pt>
                <c:pt idx="11">
                  <c:v>24</c:v>
                </c:pt>
                <c:pt idx="12">
                  <c:v>248</c:v>
                </c:pt>
                <c:pt idx="13">
                  <c:v>390</c:v>
                </c:pt>
                <c:pt idx="14">
                  <c:v>495</c:v>
                </c:pt>
                <c:pt idx="15">
                  <c:v>542</c:v>
                </c:pt>
                <c:pt idx="16">
                  <c:v>83</c:v>
                </c:pt>
              </c:numCache>
            </c:numRef>
          </c:val>
          <c:extLst>
            <c:ext xmlns:c16="http://schemas.microsoft.com/office/drawing/2014/chart" uri="{C3380CC4-5D6E-409C-BE32-E72D297353CC}">
              <c16:uniqueId val="{00000001-7F15-4731-9573-8401383D61B8}"/>
            </c:ext>
          </c:extLst>
        </c:ser>
        <c:ser>
          <c:idx val="3"/>
          <c:order val="3"/>
          <c:tx>
            <c:strRef>
              <c:f>'Diacont 10.8.2017'!$AJ$40</c:f>
              <c:strCache>
                <c:ptCount val="1"/>
                <c:pt idx="0">
                  <c:v>Neigung über 30% von vertikal</c:v>
                </c:pt>
              </c:strCache>
            </c:strRef>
          </c:tx>
          <c:spPr>
            <a:solidFill>
              <a:srgbClr val="D46B14"/>
            </a:solidFill>
          </c:spPr>
          <c:invertIfNegative val="0"/>
          <c:cat>
            <c:strRef>
              <c:f>'Diacont 10.8.2017'!$AF$41:$AF$57</c:f>
              <c:strCache>
                <c:ptCount val="17"/>
                <c:pt idx="0">
                  <c:v>Gersdorf MAS 40 F 1. Jahr</c:v>
                </c:pt>
                <c:pt idx="1">
                  <c:v>Gersdorf Belem Sonja</c:v>
                </c:pt>
                <c:pt idx="2">
                  <c:v> Lichendorf 1 Memoxx 4. Jahr</c:v>
                </c:pt>
                <c:pt idx="3">
                  <c:v>Schwarza 1 MAS 40 F 1. Jahr</c:v>
                </c:pt>
                <c:pt idx="4">
                  <c:v>Schwarza 1 Belem DKC4007</c:v>
                </c:pt>
                <c:pt idx="5">
                  <c:v>Lichendorf 2 MAS 40 F 1. Jahr</c:v>
                </c:pt>
                <c:pt idx="6">
                  <c:v>Schwarza 2 MAS 47 P 2. Jahr</c:v>
                </c:pt>
                <c:pt idx="7">
                  <c:v>Schwarza 3 Sortenversuch 2. Jahr</c:v>
                </c:pt>
                <c:pt idx="8">
                  <c:v>Lichendorf V Ferarixx 4. Jahr</c:v>
                </c:pt>
                <c:pt idx="9">
                  <c:v>Lichendorf V Belem Ferarixx 4. Jahr</c:v>
                </c:pt>
                <c:pt idx="10">
                  <c:v>Lichendorf V UK Ferarixx 4. Jahr</c:v>
                </c:pt>
                <c:pt idx="11">
                  <c:v>Lichendorf 3 MAS 47 P 4. Jahr</c:v>
                </c:pt>
                <c:pt idx="12">
                  <c:v>Schwarza 4 MAS 47 P 2. Jahr</c:v>
                </c:pt>
                <c:pt idx="13">
                  <c:v>Schwarza V MAS 40 F 6. Jahr</c:v>
                </c:pt>
                <c:pt idx="14">
                  <c:v>Schwarza V Belem MAS 40 F 6. Jahr</c:v>
                </c:pt>
                <c:pt idx="15">
                  <c:v>Schwarza V UK MAS 40 F 6. Jahr</c:v>
                </c:pt>
                <c:pt idx="16">
                  <c:v>Lichendorf 4 Ferarixx 1. Jahr</c:v>
                </c:pt>
              </c:strCache>
            </c:strRef>
          </c:cat>
          <c:val>
            <c:numRef>
              <c:f>'Diacont 10.8.2017'!$AJ$41:$AJ$57</c:f>
              <c:numCache>
                <c:formatCode>General</c:formatCode>
                <c:ptCount val="17"/>
                <c:pt idx="0">
                  <c:v>0</c:v>
                </c:pt>
                <c:pt idx="1">
                  <c:v>0</c:v>
                </c:pt>
                <c:pt idx="2">
                  <c:v>0</c:v>
                </c:pt>
                <c:pt idx="3">
                  <c:v>0</c:v>
                </c:pt>
                <c:pt idx="4">
                  <c:v>0</c:v>
                </c:pt>
                <c:pt idx="5">
                  <c:v>1</c:v>
                </c:pt>
                <c:pt idx="6">
                  <c:v>5</c:v>
                </c:pt>
                <c:pt idx="7">
                  <c:v>0</c:v>
                </c:pt>
                <c:pt idx="8">
                  <c:v>0</c:v>
                </c:pt>
                <c:pt idx="9">
                  <c:v>2</c:v>
                </c:pt>
                <c:pt idx="10">
                  <c:v>2</c:v>
                </c:pt>
                <c:pt idx="11">
                  <c:v>3</c:v>
                </c:pt>
                <c:pt idx="12">
                  <c:v>0</c:v>
                </c:pt>
                <c:pt idx="13">
                  <c:v>0</c:v>
                </c:pt>
                <c:pt idx="14">
                  <c:v>0</c:v>
                </c:pt>
                <c:pt idx="15">
                  <c:v>0</c:v>
                </c:pt>
                <c:pt idx="16">
                  <c:v>0</c:v>
                </c:pt>
              </c:numCache>
            </c:numRef>
          </c:val>
          <c:extLst>
            <c:ext xmlns:c16="http://schemas.microsoft.com/office/drawing/2014/chart" uri="{C3380CC4-5D6E-409C-BE32-E72D297353CC}">
              <c16:uniqueId val="{00000002-7F15-4731-9573-8401383D61B8}"/>
            </c:ext>
          </c:extLst>
        </c:ser>
        <c:ser>
          <c:idx val="4"/>
          <c:order val="4"/>
          <c:tx>
            <c:strRef>
              <c:f>'Diacont 10.8.2017'!$AK$40</c:f>
              <c:strCache>
                <c:ptCount val="1"/>
                <c:pt idx="0">
                  <c:v>Pflanze liegt</c:v>
                </c:pt>
              </c:strCache>
            </c:strRef>
          </c:tx>
          <c:spPr>
            <a:solidFill>
              <a:srgbClr val="FF0000"/>
            </a:solidFill>
          </c:spPr>
          <c:invertIfNegative val="0"/>
          <c:cat>
            <c:strRef>
              <c:f>'Diacont 10.8.2017'!$AF$41:$AF$57</c:f>
              <c:strCache>
                <c:ptCount val="17"/>
                <c:pt idx="0">
                  <c:v>Gersdorf MAS 40 F 1. Jahr</c:v>
                </c:pt>
                <c:pt idx="1">
                  <c:v>Gersdorf Belem Sonja</c:v>
                </c:pt>
                <c:pt idx="2">
                  <c:v> Lichendorf 1 Memoxx 4. Jahr</c:v>
                </c:pt>
                <c:pt idx="3">
                  <c:v>Schwarza 1 MAS 40 F 1. Jahr</c:v>
                </c:pt>
                <c:pt idx="4">
                  <c:v>Schwarza 1 Belem DKC4007</c:v>
                </c:pt>
                <c:pt idx="5">
                  <c:v>Lichendorf 2 MAS 40 F 1. Jahr</c:v>
                </c:pt>
                <c:pt idx="6">
                  <c:v>Schwarza 2 MAS 47 P 2. Jahr</c:v>
                </c:pt>
                <c:pt idx="7">
                  <c:v>Schwarza 3 Sortenversuch 2. Jahr</c:v>
                </c:pt>
                <c:pt idx="8">
                  <c:v>Lichendorf V Ferarixx 4. Jahr</c:v>
                </c:pt>
                <c:pt idx="9">
                  <c:v>Lichendorf V Belem Ferarixx 4. Jahr</c:v>
                </c:pt>
                <c:pt idx="10">
                  <c:v>Lichendorf V UK Ferarixx 4. Jahr</c:v>
                </c:pt>
                <c:pt idx="11">
                  <c:v>Lichendorf 3 MAS 47 P 4. Jahr</c:v>
                </c:pt>
                <c:pt idx="12">
                  <c:v>Schwarza 4 MAS 47 P 2. Jahr</c:v>
                </c:pt>
                <c:pt idx="13">
                  <c:v>Schwarza V MAS 40 F 6. Jahr</c:v>
                </c:pt>
                <c:pt idx="14">
                  <c:v>Schwarza V Belem MAS 40 F 6. Jahr</c:v>
                </c:pt>
                <c:pt idx="15">
                  <c:v>Schwarza V UK MAS 40 F 6. Jahr</c:v>
                </c:pt>
                <c:pt idx="16">
                  <c:v>Lichendorf 4 Ferarixx 1. Jahr</c:v>
                </c:pt>
              </c:strCache>
            </c:strRef>
          </c:cat>
          <c:val>
            <c:numRef>
              <c:f>'Diacont 10.8.2017'!$AK$41:$AK$57</c:f>
              <c:numCache>
                <c:formatCode>General</c:formatCode>
                <c:ptCount val="17"/>
                <c:pt idx="0">
                  <c:v>0</c:v>
                </c:pt>
                <c:pt idx="1">
                  <c:v>0</c:v>
                </c:pt>
                <c:pt idx="2">
                  <c:v>13</c:v>
                </c:pt>
                <c:pt idx="3">
                  <c:v>0</c:v>
                </c:pt>
                <c:pt idx="4">
                  <c:v>0</c:v>
                </c:pt>
                <c:pt idx="5">
                  <c:v>0</c:v>
                </c:pt>
                <c:pt idx="6">
                  <c:v>0</c:v>
                </c:pt>
                <c:pt idx="7">
                  <c:v>0</c:v>
                </c:pt>
                <c:pt idx="8">
                  <c:v>1</c:v>
                </c:pt>
                <c:pt idx="9">
                  <c:v>4</c:v>
                </c:pt>
                <c:pt idx="10">
                  <c:v>1</c:v>
                </c:pt>
                <c:pt idx="11">
                  <c:v>3</c:v>
                </c:pt>
                <c:pt idx="12">
                  <c:v>0</c:v>
                </c:pt>
                <c:pt idx="13">
                  <c:v>0</c:v>
                </c:pt>
                <c:pt idx="14">
                  <c:v>0</c:v>
                </c:pt>
                <c:pt idx="15">
                  <c:v>5</c:v>
                </c:pt>
                <c:pt idx="16">
                  <c:v>0</c:v>
                </c:pt>
              </c:numCache>
            </c:numRef>
          </c:val>
          <c:extLst>
            <c:ext xmlns:c16="http://schemas.microsoft.com/office/drawing/2014/chart" uri="{C3380CC4-5D6E-409C-BE32-E72D297353CC}">
              <c16:uniqueId val="{00000003-7F15-4731-9573-8401383D61B8}"/>
            </c:ext>
          </c:extLst>
        </c:ser>
        <c:dLbls>
          <c:showLegendKey val="0"/>
          <c:showVal val="0"/>
          <c:showCatName val="0"/>
          <c:showSerName val="0"/>
          <c:showPercent val="0"/>
          <c:showBubbleSize val="0"/>
        </c:dLbls>
        <c:gapWidth val="55"/>
        <c:overlap val="100"/>
        <c:axId val="109249664"/>
        <c:axId val="109251200"/>
        <c:extLst>
          <c:ext xmlns:c15="http://schemas.microsoft.com/office/drawing/2012/chart" uri="{02D57815-91ED-43cb-92C2-25804820EDAC}">
            <c15:filteredBarSeries>
              <c15:ser>
                <c:idx val="1"/>
                <c:order val="1"/>
                <c:tx>
                  <c:strRef>
                    <c:extLst>
                      <c:ext uri="{02D57815-91ED-43cb-92C2-25804820EDAC}">
                        <c15:formulaRef>
                          <c15:sqref>'Diacont 10.8.2017'!$AH$40</c15:sqref>
                        </c15:formulaRef>
                      </c:ext>
                    </c:extLst>
                    <c:strCache>
                      <c:ptCount val="1"/>
                      <c:pt idx="0">
                        <c:v>Schwanenhals</c:v>
                      </c:pt>
                    </c:strCache>
                  </c:strRef>
                </c:tx>
                <c:invertIfNegative val="0"/>
                <c:cat>
                  <c:strRef>
                    <c:extLst>
                      <c:ext uri="{02D57815-91ED-43cb-92C2-25804820EDAC}">
                        <c15:formulaRef>
                          <c15:sqref>'Diacont 10.8.2017'!$AF$41:$AF$57</c15:sqref>
                        </c15:formulaRef>
                      </c:ext>
                    </c:extLst>
                    <c:strCache>
                      <c:ptCount val="17"/>
                      <c:pt idx="0">
                        <c:v>Gersdorf MAS 40 F 1. Jahr</c:v>
                      </c:pt>
                      <c:pt idx="1">
                        <c:v>Gersdorf Belem Sonja</c:v>
                      </c:pt>
                      <c:pt idx="2">
                        <c:v> Lichendorf 1 Memoxx 4. Jahr</c:v>
                      </c:pt>
                      <c:pt idx="3">
                        <c:v>Schwarza 1 MAS 40 F 1. Jahr</c:v>
                      </c:pt>
                      <c:pt idx="4">
                        <c:v>Schwarza 1 Belem DKC4007</c:v>
                      </c:pt>
                      <c:pt idx="5">
                        <c:v>Lichendorf 2 MAS 40 F 1. Jahr</c:v>
                      </c:pt>
                      <c:pt idx="6">
                        <c:v>Schwarza 2 MAS 47 P 2. Jahr</c:v>
                      </c:pt>
                      <c:pt idx="7">
                        <c:v>Schwarza 3 Sortenversuch 2. Jahr</c:v>
                      </c:pt>
                      <c:pt idx="8">
                        <c:v>Lichendorf V Ferarixx 4. Jahr</c:v>
                      </c:pt>
                      <c:pt idx="9">
                        <c:v>Lichendorf V Belem Ferarixx 4. Jahr</c:v>
                      </c:pt>
                      <c:pt idx="10">
                        <c:v>Lichendorf V UK Ferarixx 4. Jahr</c:v>
                      </c:pt>
                      <c:pt idx="11">
                        <c:v>Lichendorf 3 MAS 47 P 4. Jahr</c:v>
                      </c:pt>
                      <c:pt idx="12">
                        <c:v>Schwarza 4 MAS 47 P 2. Jahr</c:v>
                      </c:pt>
                      <c:pt idx="13">
                        <c:v>Schwarza V MAS 40 F 6. Jahr</c:v>
                      </c:pt>
                      <c:pt idx="14">
                        <c:v>Schwarza V Belem MAS 40 F 6. Jahr</c:v>
                      </c:pt>
                      <c:pt idx="15">
                        <c:v>Schwarza V UK MAS 40 F 6. Jahr</c:v>
                      </c:pt>
                      <c:pt idx="16">
                        <c:v>Lichendorf 4 Ferarixx 1. Jahr</c:v>
                      </c:pt>
                    </c:strCache>
                  </c:strRef>
                </c:cat>
                <c:val>
                  <c:numRef>
                    <c:extLst>
                      <c:ext uri="{02D57815-91ED-43cb-92C2-25804820EDAC}">
                        <c15:formulaRef>
                          <c15:sqref>'Diacont 10.8.2017'!$AH$41:$AH$57</c15:sqref>
                        </c15:formulaRef>
                      </c:ext>
                    </c:extLst>
                    <c:numCache>
                      <c:formatCode>General</c:formatCode>
                      <c:ptCount val="17"/>
                      <c:pt idx="0">
                        <c:v>0</c:v>
                      </c:pt>
                      <c:pt idx="1">
                        <c:v>0</c:v>
                      </c:pt>
                      <c:pt idx="2">
                        <c:v>618</c:v>
                      </c:pt>
                      <c:pt idx="3">
                        <c:v>1</c:v>
                      </c:pt>
                      <c:pt idx="4">
                        <c:v>8</c:v>
                      </c:pt>
                      <c:pt idx="5">
                        <c:v>42</c:v>
                      </c:pt>
                      <c:pt idx="6">
                        <c:v>93</c:v>
                      </c:pt>
                      <c:pt idx="7">
                        <c:v>420</c:v>
                      </c:pt>
                      <c:pt idx="8">
                        <c:v>29</c:v>
                      </c:pt>
                      <c:pt idx="9">
                        <c:v>188</c:v>
                      </c:pt>
                      <c:pt idx="10">
                        <c:v>28</c:v>
                      </c:pt>
                      <c:pt idx="11">
                        <c:v>24</c:v>
                      </c:pt>
                      <c:pt idx="12">
                        <c:v>248</c:v>
                      </c:pt>
                      <c:pt idx="13">
                        <c:v>390</c:v>
                      </c:pt>
                      <c:pt idx="14">
                        <c:v>495</c:v>
                      </c:pt>
                      <c:pt idx="15">
                        <c:v>541</c:v>
                      </c:pt>
                      <c:pt idx="16">
                        <c:v>80</c:v>
                      </c:pt>
                    </c:numCache>
                  </c:numRef>
                </c:val>
                <c:extLst>
                  <c:ext xmlns:c16="http://schemas.microsoft.com/office/drawing/2014/chart" uri="{C3380CC4-5D6E-409C-BE32-E72D297353CC}">
                    <c16:uniqueId val="{00000005-7F15-4731-9573-8401383D61B8}"/>
                  </c:ext>
                </c:extLst>
              </c15:ser>
            </c15:filteredBarSeries>
          </c:ext>
        </c:extLst>
      </c:barChart>
      <c:lineChart>
        <c:grouping val="standard"/>
        <c:varyColors val="0"/>
        <c:ser>
          <c:idx val="5"/>
          <c:order val="5"/>
          <c:tx>
            <c:strRef>
              <c:f>'Diacont 10.8.2017'!$AL$40</c:f>
              <c:strCache>
                <c:ptCount val="1"/>
                <c:pt idx="0">
                  <c:v>Entfernung von der Mur in  Metern</c:v>
                </c:pt>
              </c:strCache>
            </c:strRef>
          </c:tx>
          <c:spPr>
            <a:ln>
              <a:solidFill>
                <a:srgbClr val="00B0F0"/>
              </a:solidFill>
            </a:ln>
          </c:spPr>
          <c:marker>
            <c:symbol val="none"/>
          </c:marker>
          <c:cat>
            <c:strRef>
              <c:f>'Diacont 10.8.2017'!$AF$41:$AF$57</c:f>
              <c:strCache>
                <c:ptCount val="17"/>
                <c:pt idx="0">
                  <c:v>Gersdorf MAS 40 F 1. Jahr</c:v>
                </c:pt>
                <c:pt idx="1">
                  <c:v>Gersdorf Belem Sonja</c:v>
                </c:pt>
                <c:pt idx="2">
                  <c:v> Lichendorf 1 Memoxx 4. Jahr</c:v>
                </c:pt>
                <c:pt idx="3">
                  <c:v>Schwarza 1 MAS 40 F 1. Jahr</c:v>
                </c:pt>
                <c:pt idx="4">
                  <c:v>Schwarza 1 Belem DKC4007</c:v>
                </c:pt>
                <c:pt idx="5">
                  <c:v>Lichendorf 2 MAS 40 F 1. Jahr</c:v>
                </c:pt>
                <c:pt idx="6">
                  <c:v>Schwarza 2 MAS 47 P 2. Jahr</c:v>
                </c:pt>
                <c:pt idx="7">
                  <c:v>Schwarza 3 Sortenversuch 2. Jahr</c:v>
                </c:pt>
                <c:pt idx="8">
                  <c:v>Lichendorf V Ferarixx 4. Jahr</c:v>
                </c:pt>
                <c:pt idx="9">
                  <c:v>Lichendorf V Belem Ferarixx 4. Jahr</c:v>
                </c:pt>
                <c:pt idx="10">
                  <c:v>Lichendorf V UK Ferarixx 4. Jahr</c:v>
                </c:pt>
                <c:pt idx="11">
                  <c:v>Lichendorf 3 MAS 47 P 4. Jahr</c:v>
                </c:pt>
                <c:pt idx="12">
                  <c:v>Schwarza 4 MAS 47 P 2. Jahr</c:v>
                </c:pt>
                <c:pt idx="13">
                  <c:v>Schwarza V MAS 40 F 6. Jahr</c:v>
                </c:pt>
                <c:pt idx="14">
                  <c:v>Schwarza V Belem MAS 40 F 6. Jahr</c:v>
                </c:pt>
                <c:pt idx="15">
                  <c:v>Schwarza V UK MAS 40 F 6. Jahr</c:v>
                </c:pt>
                <c:pt idx="16">
                  <c:v>Lichendorf 4 Ferarixx 1. Jahr</c:v>
                </c:pt>
              </c:strCache>
            </c:strRef>
          </c:cat>
          <c:val>
            <c:numRef>
              <c:f>'Diacont 10.8.2017'!$AL$41:$AL$57</c:f>
              <c:numCache>
                <c:formatCode>General</c:formatCode>
                <c:ptCount val="17"/>
                <c:pt idx="0">
                  <c:v>150</c:v>
                </c:pt>
                <c:pt idx="1">
                  <c:v>150</c:v>
                </c:pt>
                <c:pt idx="2">
                  <c:v>280</c:v>
                </c:pt>
                <c:pt idx="3">
                  <c:v>380</c:v>
                </c:pt>
                <c:pt idx="4">
                  <c:v>340</c:v>
                </c:pt>
                <c:pt idx="5">
                  <c:v>540</c:v>
                </c:pt>
                <c:pt idx="6">
                  <c:v>820</c:v>
                </c:pt>
                <c:pt idx="7">
                  <c:v>950</c:v>
                </c:pt>
                <c:pt idx="8">
                  <c:v>1130</c:v>
                </c:pt>
                <c:pt idx="9">
                  <c:v>1130</c:v>
                </c:pt>
                <c:pt idx="10">
                  <c:v>1130</c:v>
                </c:pt>
                <c:pt idx="11">
                  <c:v>1340</c:v>
                </c:pt>
                <c:pt idx="12">
                  <c:v>1590</c:v>
                </c:pt>
                <c:pt idx="13">
                  <c:v>1620</c:v>
                </c:pt>
                <c:pt idx="14">
                  <c:v>1620</c:v>
                </c:pt>
                <c:pt idx="15">
                  <c:v>1620</c:v>
                </c:pt>
                <c:pt idx="16">
                  <c:v>1830</c:v>
                </c:pt>
              </c:numCache>
            </c:numRef>
          </c:val>
          <c:smooth val="0"/>
          <c:extLst>
            <c:ext xmlns:c16="http://schemas.microsoft.com/office/drawing/2014/chart" uri="{C3380CC4-5D6E-409C-BE32-E72D297353CC}">
              <c16:uniqueId val="{00000004-7F15-4731-9573-8401383D61B8}"/>
            </c:ext>
          </c:extLst>
        </c:ser>
        <c:dLbls>
          <c:showLegendKey val="0"/>
          <c:showVal val="0"/>
          <c:showCatName val="0"/>
          <c:showSerName val="0"/>
          <c:showPercent val="0"/>
          <c:showBubbleSize val="0"/>
        </c:dLbls>
        <c:marker val="1"/>
        <c:smooth val="0"/>
        <c:axId val="109255296"/>
        <c:axId val="109253376"/>
      </c:lineChart>
      <c:catAx>
        <c:axId val="109249664"/>
        <c:scaling>
          <c:orientation val="minMax"/>
        </c:scaling>
        <c:delete val="0"/>
        <c:axPos val="b"/>
        <c:numFmt formatCode="General" sourceLinked="0"/>
        <c:majorTickMark val="none"/>
        <c:minorTickMark val="none"/>
        <c:tickLblPos val="nextTo"/>
        <c:crossAx val="109251200"/>
        <c:crosses val="autoZero"/>
        <c:auto val="1"/>
        <c:lblAlgn val="ctr"/>
        <c:lblOffset val="100"/>
        <c:noMultiLvlLbl val="0"/>
      </c:catAx>
      <c:valAx>
        <c:axId val="109251200"/>
        <c:scaling>
          <c:orientation val="minMax"/>
        </c:scaling>
        <c:delete val="0"/>
        <c:axPos val="l"/>
        <c:majorGridlines/>
        <c:title>
          <c:tx>
            <c:rich>
              <a:bodyPr/>
              <a:lstStyle/>
              <a:p>
                <a:pPr>
                  <a:defRPr/>
                </a:pPr>
                <a:r>
                  <a:rPr lang="de-AT"/>
                  <a:t>Lagerungskategorien in %</a:t>
                </a:r>
              </a:p>
            </c:rich>
          </c:tx>
          <c:overlay val="0"/>
        </c:title>
        <c:numFmt formatCode="0%" sourceLinked="1"/>
        <c:majorTickMark val="none"/>
        <c:minorTickMark val="none"/>
        <c:tickLblPos val="nextTo"/>
        <c:crossAx val="109249664"/>
        <c:crosses val="autoZero"/>
        <c:crossBetween val="between"/>
      </c:valAx>
      <c:valAx>
        <c:axId val="109253376"/>
        <c:scaling>
          <c:orientation val="minMax"/>
        </c:scaling>
        <c:delete val="0"/>
        <c:axPos val="r"/>
        <c:title>
          <c:tx>
            <c:rich>
              <a:bodyPr/>
              <a:lstStyle/>
              <a:p>
                <a:pPr>
                  <a:defRPr/>
                </a:pPr>
                <a:r>
                  <a:rPr lang="de-AT"/>
                  <a:t>Entfernung zur Mur in Metern</a:t>
                </a:r>
              </a:p>
            </c:rich>
          </c:tx>
          <c:overlay val="0"/>
        </c:title>
        <c:numFmt formatCode="General" sourceLinked="1"/>
        <c:majorTickMark val="out"/>
        <c:minorTickMark val="none"/>
        <c:tickLblPos val="nextTo"/>
        <c:crossAx val="109255296"/>
        <c:crosses val="max"/>
        <c:crossBetween val="between"/>
      </c:valAx>
      <c:catAx>
        <c:axId val="109255296"/>
        <c:scaling>
          <c:orientation val="minMax"/>
        </c:scaling>
        <c:delete val="1"/>
        <c:axPos val="b"/>
        <c:numFmt formatCode="General" sourceLinked="1"/>
        <c:majorTickMark val="out"/>
        <c:minorTickMark val="none"/>
        <c:tickLblPos val="none"/>
        <c:crossAx val="109253376"/>
        <c:crosses val="autoZero"/>
        <c:auto val="1"/>
        <c:lblAlgn val="ctr"/>
        <c:lblOffset val="100"/>
        <c:noMultiLvlLbl val="0"/>
      </c:catAx>
    </c:plotArea>
    <c:legend>
      <c:legendPos val="b"/>
      <c:layout>
        <c:manualLayout>
          <c:xMode val="edge"/>
          <c:yMode val="edge"/>
          <c:x val="2.3556330355197216E-2"/>
          <c:y val="0.86111930977181317"/>
          <c:w val="0.92237960339943348"/>
          <c:h val="0.12449726803017547"/>
        </c:manualLayout>
      </c:layout>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AT" sz="1400" b="0" i="0" baseline="0">
                <a:effectLst/>
              </a:rPr>
              <a:t>Lagerung nach Foltin gewichtet nach der verwendeten Pflanzenschutzmaßnahme</a:t>
            </a:r>
            <a:endParaRPr lang="de-AT" sz="1400">
              <a:effectLst/>
            </a:endParaRPr>
          </a:p>
        </c:rich>
      </c:tx>
      <c:overlay val="0"/>
      <c:spPr>
        <a:noFill/>
        <a:ln>
          <a:noFill/>
        </a:ln>
        <a:effectLst/>
      </c:spPr>
    </c:title>
    <c:autoTitleDeleted val="0"/>
    <c:plotArea>
      <c:layout/>
      <c:barChart>
        <c:barDir val="col"/>
        <c:grouping val="percentStacked"/>
        <c:varyColors val="0"/>
        <c:ser>
          <c:idx val="0"/>
          <c:order val="0"/>
          <c:tx>
            <c:strRef>
              <c:f>Diagramme!$D$191</c:f>
              <c:strCache>
                <c:ptCount val="1"/>
                <c:pt idx="0">
                  <c:v>Pflanze aufrecht</c:v>
                </c:pt>
              </c:strCache>
            </c:strRef>
          </c:tx>
          <c:spPr>
            <a:solidFill>
              <a:schemeClr val="accent3"/>
            </a:solidFill>
            <a:ln>
              <a:noFill/>
            </a:ln>
            <a:effectLst/>
          </c:spPr>
          <c:invertIfNegative val="0"/>
          <c:cat>
            <c:strRef>
              <c:f>Diagramme!$C$192:$C$194</c:f>
              <c:strCache>
                <c:ptCount val="3"/>
                <c:pt idx="0">
                  <c:v>Dianem</c:v>
                </c:pt>
                <c:pt idx="1">
                  <c:v>keine</c:v>
                </c:pt>
                <c:pt idx="2">
                  <c:v>Belem</c:v>
                </c:pt>
              </c:strCache>
            </c:strRef>
          </c:cat>
          <c:val>
            <c:numRef>
              <c:f>Diagramme!$D$192:$D$194</c:f>
              <c:numCache>
                <c:formatCode>General</c:formatCode>
                <c:ptCount val="3"/>
                <c:pt idx="0">
                  <c:v>75.634792004321994</c:v>
                </c:pt>
                <c:pt idx="1">
                  <c:v>56.901615271659324</c:v>
                </c:pt>
                <c:pt idx="2">
                  <c:v>69.24769027716674</c:v>
                </c:pt>
              </c:numCache>
            </c:numRef>
          </c:val>
          <c:extLst>
            <c:ext xmlns:c16="http://schemas.microsoft.com/office/drawing/2014/chart" uri="{C3380CC4-5D6E-409C-BE32-E72D297353CC}">
              <c16:uniqueId val="{00000000-AAF8-4298-9632-972AC018A4D4}"/>
            </c:ext>
          </c:extLst>
        </c:ser>
        <c:ser>
          <c:idx val="1"/>
          <c:order val="1"/>
          <c:tx>
            <c:strRef>
              <c:f>Diagramme!$E$191</c:f>
              <c:strCache>
                <c:ptCount val="1"/>
                <c:pt idx="0">
                  <c:v>Neigung bis 30  % von vertikal</c:v>
                </c:pt>
              </c:strCache>
            </c:strRef>
          </c:tx>
          <c:spPr>
            <a:solidFill>
              <a:srgbClr val="FFC000"/>
            </a:solidFill>
            <a:ln>
              <a:noFill/>
            </a:ln>
            <a:effectLst/>
          </c:spPr>
          <c:invertIfNegative val="0"/>
          <c:cat>
            <c:strRef>
              <c:f>Diagramme!$C$192:$C$194</c:f>
              <c:strCache>
                <c:ptCount val="3"/>
                <c:pt idx="0">
                  <c:v>Dianem</c:v>
                </c:pt>
                <c:pt idx="1">
                  <c:v>keine</c:v>
                </c:pt>
                <c:pt idx="2">
                  <c:v>Belem</c:v>
                </c:pt>
              </c:strCache>
            </c:strRef>
          </c:cat>
          <c:val>
            <c:numRef>
              <c:f>Diagramme!$E$192:$E$194</c:f>
              <c:numCache>
                <c:formatCode>General</c:formatCode>
                <c:ptCount val="3"/>
                <c:pt idx="0">
                  <c:v>24.131100306140826</c:v>
                </c:pt>
                <c:pt idx="1">
                  <c:v>42.51101321585903</c:v>
                </c:pt>
                <c:pt idx="2">
                  <c:v>30.488341399032116</c:v>
                </c:pt>
              </c:numCache>
            </c:numRef>
          </c:val>
          <c:extLst>
            <c:ext xmlns:c16="http://schemas.microsoft.com/office/drawing/2014/chart" uri="{C3380CC4-5D6E-409C-BE32-E72D297353CC}">
              <c16:uniqueId val="{00000001-AAF8-4298-9632-972AC018A4D4}"/>
            </c:ext>
          </c:extLst>
        </c:ser>
        <c:ser>
          <c:idx val="2"/>
          <c:order val="2"/>
          <c:tx>
            <c:strRef>
              <c:f>Diagramme!$F$191</c:f>
              <c:strCache>
                <c:ptCount val="1"/>
                <c:pt idx="0">
                  <c:v>Neigung über 30% von vertikal</c:v>
                </c:pt>
              </c:strCache>
            </c:strRef>
          </c:tx>
          <c:spPr>
            <a:solidFill>
              <a:srgbClr val="D46B14"/>
            </a:solidFill>
            <a:ln>
              <a:noFill/>
            </a:ln>
            <a:effectLst/>
          </c:spPr>
          <c:invertIfNegative val="0"/>
          <c:cat>
            <c:strRef>
              <c:f>Diagramme!$C$192:$C$194</c:f>
              <c:strCache>
                <c:ptCount val="3"/>
                <c:pt idx="0">
                  <c:v>Dianem</c:v>
                </c:pt>
                <c:pt idx="1">
                  <c:v>keine</c:v>
                </c:pt>
                <c:pt idx="2">
                  <c:v>Belem</c:v>
                </c:pt>
              </c:strCache>
            </c:strRef>
          </c:cat>
          <c:val>
            <c:numRef>
              <c:f>Diagramme!$F$192:$F$194</c:f>
              <c:numCache>
                <c:formatCode>General</c:formatCode>
                <c:ptCount val="3"/>
                <c:pt idx="0">
                  <c:v>0.16207455429497569</c:v>
                </c:pt>
                <c:pt idx="1">
                  <c:v>0.14684287812041116</c:v>
                </c:pt>
                <c:pt idx="2">
                  <c:v>8.7989441267047955E-2</c:v>
                </c:pt>
              </c:numCache>
            </c:numRef>
          </c:val>
          <c:extLst>
            <c:ext xmlns:c16="http://schemas.microsoft.com/office/drawing/2014/chart" uri="{C3380CC4-5D6E-409C-BE32-E72D297353CC}">
              <c16:uniqueId val="{00000002-AAF8-4298-9632-972AC018A4D4}"/>
            </c:ext>
          </c:extLst>
        </c:ser>
        <c:ser>
          <c:idx val="3"/>
          <c:order val="3"/>
          <c:tx>
            <c:strRef>
              <c:f>Diagramme!$G$191</c:f>
              <c:strCache>
                <c:ptCount val="1"/>
                <c:pt idx="0">
                  <c:v>Pflanze liegt</c:v>
                </c:pt>
              </c:strCache>
            </c:strRef>
          </c:tx>
          <c:spPr>
            <a:solidFill>
              <a:srgbClr val="FF0000"/>
            </a:solidFill>
            <a:ln>
              <a:noFill/>
            </a:ln>
            <a:effectLst/>
          </c:spPr>
          <c:invertIfNegative val="0"/>
          <c:cat>
            <c:strRef>
              <c:f>Diagramme!$C$192:$C$194</c:f>
              <c:strCache>
                <c:ptCount val="3"/>
                <c:pt idx="0">
                  <c:v>Dianem</c:v>
                </c:pt>
                <c:pt idx="1">
                  <c:v>keine</c:v>
                </c:pt>
                <c:pt idx="2">
                  <c:v>Belem</c:v>
                </c:pt>
              </c:strCache>
            </c:strRef>
          </c:cat>
          <c:val>
            <c:numRef>
              <c:f>Diagramme!$G$192:$G$194</c:f>
              <c:numCache>
                <c:formatCode>General</c:formatCode>
                <c:ptCount val="3"/>
                <c:pt idx="0">
                  <c:v>7.203313524221143E-2</c:v>
                </c:pt>
                <c:pt idx="1">
                  <c:v>0.44052863436123346</c:v>
                </c:pt>
                <c:pt idx="2">
                  <c:v>0.17597888253409591</c:v>
                </c:pt>
              </c:numCache>
            </c:numRef>
          </c:val>
          <c:extLst>
            <c:ext xmlns:c16="http://schemas.microsoft.com/office/drawing/2014/chart" uri="{C3380CC4-5D6E-409C-BE32-E72D297353CC}">
              <c16:uniqueId val="{00000003-AAF8-4298-9632-972AC018A4D4}"/>
            </c:ext>
          </c:extLst>
        </c:ser>
        <c:dLbls>
          <c:showLegendKey val="0"/>
          <c:showVal val="0"/>
          <c:showCatName val="0"/>
          <c:showSerName val="0"/>
          <c:showPercent val="0"/>
          <c:showBubbleSize val="0"/>
        </c:dLbls>
        <c:gapWidth val="150"/>
        <c:overlap val="100"/>
        <c:axId val="109296256"/>
        <c:axId val="109306240"/>
      </c:barChart>
      <c:catAx>
        <c:axId val="109296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9306240"/>
        <c:crosses val="autoZero"/>
        <c:auto val="1"/>
        <c:lblAlgn val="ctr"/>
        <c:lblOffset val="100"/>
        <c:noMultiLvlLbl val="0"/>
      </c:catAx>
      <c:valAx>
        <c:axId val="1093062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9296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AT"/>
              <a:t>ha-Ertrag in kg
trocken</a:t>
            </a:r>
          </a:p>
        </c:rich>
      </c:tx>
      <c:overlay val="0"/>
      <c:spPr>
        <a:noFill/>
        <a:ln w="25400">
          <a:noFill/>
        </a:ln>
      </c:spPr>
    </c:title>
    <c:autoTitleDeleted val="0"/>
    <c:plotArea>
      <c:layout/>
      <c:barChart>
        <c:barDir val="col"/>
        <c:grouping val="clustered"/>
        <c:varyColors val="0"/>
        <c:ser>
          <c:idx val="0"/>
          <c:order val="0"/>
          <c:tx>
            <c:strRef>
              <c:f>'Ertrag mit Diagramm'!$L$15</c:f>
              <c:strCache>
                <c:ptCount val="1"/>
                <c:pt idx="0">
                  <c:v>ha-Ertrag
trocken</c:v>
                </c:pt>
              </c:strCache>
            </c:strRef>
          </c:tx>
          <c:spPr>
            <a:solidFill>
              <a:srgbClr val="4F81BD"/>
            </a:solidFill>
            <a:ln w="25400">
              <a:noFill/>
            </a:ln>
          </c:spPr>
          <c:invertIfNegative val="0"/>
          <c:cat>
            <c:multiLvlStrRef>
              <c:f>'Ertrag mit Diagramm'!$J$16:$K$21</c:f>
              <c:multiLvlStrCache>
                <c:ptCount val="6"/>
                <c:lvl>
                  <c:pt idx="0">
                    <c:v>Dianem</c:v>
                  </c:pt>
                  <c:pt idx="1">
                    <c:v>UK</c:v>
                  </c:pt>
                  <c:pt idx="2">
                    <c:v>Belem</c:v>
                  </c:pt>
                  <c:pt idx="3">
                    <c:v>Dianem</c:v>
                  </c:pt>
                  <c:pt idx="4">
                    <c:v>UK</c:v>
                  </c:pt>
                  <c:pt idx="5">
                    <c:v>Belem</c:v>
                  </c:pt>
                </c:lvl>
                <c:lvl>
                  <c:pt idx="0">
                    <c:v>Schwarza 
MAS 40 F</c:v>
                  </c:pt>
                  <c:pt idx="3">
                    <c:v>Lichendorf
Ferarixx</c:v>
                  </c:pt>
                </c:lvl>
              </c:multiLvlStrCache>
            </c:multiLvlStrRef>
          </c:cat>
          <c:val>
            <c:numRef>
              <c:f>'Ertrag mit Diagramm'!$L$16:$L$21</c:f>
              <c:numCache>
                <c:formatCode>General</c:formatCode>
                <c:ptCount val="6"/>
                <c:pt idx="0">
                  <c:v>8909</c:v>
                </c:pt>
                <c:pt idx="1">
                  <c:v>8026</c:v>
                </c:pt>
                <c:pt idx="2">
                  <c:v>5509</c:v>
                </c:pt>
                <c:pt idx="3">
                  <c:v>11327</c:v>
                </c:pt>
                <c:pt idx="4">
                  <c:v>9714</c:v>
                </c:pt>
                <c:pt idx="5">
                  <c:v>9860</c:v>
                </c:pt>
              </c:numCache>
            </c:numRef>
          </c:val>
          <c:extLst>
            <c:ext xmlns:c16="http://schemas.microsoft.com/office/drawing/2014/chart" uri="{C3380CC4-5D6E-409C-BE32-E72D297353CC}">
              <c16:uniqueId val="{00000000-D8DF-41A3-B1D3-D2F834941358}"/>
            </c:ext>
          </c:extLst>
        </c:ser>
        <c:dLbls>
          <c:showLegendKey val="0"/>
          <c:showVal val="0"/>
          <c:showCatName val="0"/>
          <c:showSerName val="0"/>
          <c:showPercent val="0"/>
          <c:showBubbleSize val="0"/>
        </c:dLbls>
        <c:gapWidth val="219"/>
        <c:overlap val="-27"/>
        <c:axId val="109331200"/>
        <c:axId val="109332736"/>
      </c:barChart>
      <c:catAx>
        <c:axId val="109331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9332736"/>
        <c:crosses val="autoZero"/>
        <c:auto val="1"/>
        <c:lblAlgn val="ctr"/>
        <c:lblOffset val="100"/>
        <c:noMultiLvlLbl val="0"/>
      </c:catAx>
      <c:valAx>
        <c:axId val="109332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933120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AT"/>
              <a:t>Befallsgrad durch MWB im 4. Standjahr unter Berücksichtigung</a:t>
            </a:r>
            <a:r>
              <a:rPr lang="de-AT" baseline="0"/>
              <a:t> der </a:t>
            </a:r>
            <a:r>
              <a:rPr lang="de-AT"/>
              <a:t>Vorfrüchte der letzen 3 Jahre </a:t>
            </a:r>
            <a:r>
              <a:rPr lang="de-AT" baseline="0"/>
              <a:t> (Fruchtfolge)</a:t>
            </a:r>
            <a:endParaRPr lang="de-AT"/>
          </a:p>
        </c:rich>
      </c:tx>
      <c:overlay val="0"/>
      <c:spPr>
        <a:noFill/>
        <a:ln>
          <a:noFill/>
        </a:ln>
        <a:effectLst/>
      </c:spPr>
    </c:title>
    <c:autoTitleDeleted val="0"/>
    <c:plotArea>
      <c:layout>
        <c:manualLayout>
          <c:layoutTarget val="inner"/>
          <c:xMode val="edge"/>
          <c:yMode val="edge"/>
          <c:x val="8.6070763997139962E-2"/>
          <c:y val="0.43423423423423424"/>
          <c:w val="0.80120832611659587"/>
          <c:h val="0.39665649901870376"/>
        </c:manualLayout>
      </c:layout>
      <c:barChart>
        <c:barDir val="col"/>
        <c:grouping val="percentStacked"/>
        <c:varyColors val="0"/>
        <c:ser>
          <c:idx val="0"/>
          <c:order val="0"/>
          <c:tx>
            <c:strRef>
              <c:f>' Bezüge 1'!$B$128</c:f>
              <c:strCache>
                <c:ptCount val="1"/>
                <c:pt idx="0">
                  <c:v>kein</c:v>
                </c:pt>
              </c:strCache>
            </c:strRef>
          </c:tx>
          <c:spPr>
            <a:solidFill>
              <a:schemeClr val="accent3"/>
            </a:solidFill>
            <a:ln>
              <a:noFill/>
            </a:ln>
            <a:effectLst/>
          </c:spPr>
          <c:invertIfNegative val="0"/>
          <c:cat>
            <c:strRef>
              <c:f>' Bezüge 1'!$A$129:$A$132</c:f>
              <c:strCache>
                <c:ptCount val="4"/>
                <c:pt idx="0">
                  <c:v>1. Jahr Mais</c:v>
                </c:pt>
                <c:pt idx="1">
                  <c:v>2. Jahr Mais bzw. mit 2 Jahren Zwischenkultur</c:v>
                </c:pt>
                <c:pt idx="2">
                  <c:v>3. Jahr Mais bzw. mit 1 Jahr Zwischenkultur</c:v>
                </c:pt>
                <c:pt idx="3">
                  <c:v>ab 4. Jahr Mais (Versuchsfelder)</c:v>
                </c:pt>
              </c:strCache>
            </c:strRef>
          </c:cat>
          <c:val>
            <c:numRef>
              <c:f>' Bezüge 1'!$B$129:$B$132</c:f>
              <c:numCache>
                <c:formatCode>General</c:formatCode>
                <c:ptCount val="4"/>
                <c:pt idx="0">
                  <c:v>50</c:v>
                </c:pt>
                <c:pt idx="1">
                  <c:v>14.3</c:v>
                </c:pt>
                <c:pt idx="2">
                  <c:v>1.5</c:v>
                </c:pt>
              </c:numCache>
            </c:numRef>
          </c:val>
          <c:extLst>
            <c:ext xmlns:c16="http://schemas.microsoft.com/office/drawing/2014/chart" uri="{C3380CC4-5D6E-409C-BE32-E72D297353CC}">
              <c16:uniqueId val="{00000000-BC7D-4A5A-9BBE-70107ECB5F55}"/>
            </c:ext>
          </c:extLst>
        </c:ser>
        <c:ser>
          <c:idx val="1"/>
          <c:order val="1"/>
          <c:tx>
            <c:strRef>
              <c:f>' Bezüge 1'!$C$128</c:f>
              <c:strCache>
                <c:ptCount val="1"/>
                <c:pt idx="0">
                  <c:v>leicht</c:v>
                </c:pt>
              </c:strCache>
            </c:strRef>
          </c:tx>
          <c:spPr>
            <a:solidFill>
              <a:srgbClr val="FFC000"/>
            </a:solidFill>
            <a:ln>
              <a:noFill/>
            </a:ln>
            <a:effectLst/>
          </c:spPr>
          <c:invertIfNegative val="0"/>
          <c:cat>
            <c:strRef>
              <c:f>' Bezüge 1'!$A$129:$A$132</c:f>
              <c:strCache>
                <c:ptCount val="4"/>
                <c:pt idx="0">
                  <c:v>1. Jahr Mais</c:v>
                </c:pt>
                <c:pt idx="1">
                  <c:v>2. Jahr Mais bzw. mit 2 Jahren Zwischenkultur</c:v>
                </c:pt>
                <c:pt idx="2">
                  <c:v>3. Jahr Mais bzw. mit 1 Jahr Zwischenkultur</c:v>
                </c:pt>
                <c:pt idx="3">
                  <c:v>ab 4. Jahr Mais (Versuchsfelder)</c:v>
                </c:pt>
              </c:strCache>
            </c:strRef>
          </c:cat>
          <c:val>
            <c:numRef>
              <c:f>' Bezüge 1'!$C$129:$C$132</c:f>
              <c:numCache>
                <c:formatCode>General</c:formatCode>
                <c:ptCount val="4"/>
                <c:pt idx="0">
                  <c:v>25</c:v>
                </c:pt>
                <c:pt idx="1">
                  <c:v>28.6</c:v>
                </c:pt>
                <c:pt idx="2">
                  <c:v>27.9</c:v>
                </c:pt>
                <c:pt idx="3">
                  <c:v>16.7</c:v>
                </c:pt>
              </c:numCache>
            </c:numRef>
          </c:val>
          <c:extLst>
            <c:ext xmlns:c16="http://schemas.microsoft.com/office/drawing/2014/chart" uri="{C3380CC4-5D6E-409C-BE32-E72D297353CC}">
              <c16:uniqueId val="{00000001-BC7D-4A5A-9BBE-70107ECB5F55}"/>
            </c:ext>
          </c:extLst>
        </c:ser>
        <c:ser>
          <c:idx val="2"/>
          <c:order val="2"/>
          <c:tx>
            <c:strRef>
              <c:f>' Bezüge 1'!$D$128</c:f>
              <c:strCache>
                <c:ptCount val="1"/>
                <c:pt idx="0">
                  <c:v>mittel</c:v>
                </c:pt>
              </c:strCache>
            </c:strRef>
          </c:tx>
          <c:spPr>
            <a:solidFill>
              <a:srgbClr val="F68C18"/>
            </a:solidFill>
            <a:ln>
              <a:noFill/>
            </a:ln>
            <a:effectLst/>
          </c:spPr>
          <c:invertIfNegative val="0"/>
          <c:cat>
            <c:strRef>
              <c:f>' Bezüge 1'!$A$129:$A$132</c:f>
              <c:strCache>
                <c:ptCount val="4"/>
                <c:pt idx="0">
                  <c:v>1. Jahr Mais</c:v>
                </c:pt>
                <c:pt idx="1">
                  <c:v>2. Jahr Mais bzw. mit 2 Jahren Zwischenkultur</c:v>
                </c:pt>
                <c:pt idx="2">
                  <c:v>3. Jahr Mais bzw. mit 1 Jahr Zwischenkultur</c:v>
                </c:pt>
                <c:pt idx="3">
                  <c:v>ab 4. Jahr Mais (Versuchsfelder)</c:v>
                </c:pt>
              </c:strCache>
            </c:strRef>
          </c:cat>
          <c:val>
            <c:numRef>
              <c:f>' Bezüge 1'!$D$129:$D$132</c:f>
              <c:numCache>
                <c:formatCode>General</c:formatCode>
                <c:ptCount val="4"/>
                <c:pt idx="0">
                  <c:v>25</c:v>
                </c:pt>
                <c:pt idx="1">
                  <c:v>57.1</c:v>
                </c:pt>
                <c:pt idx="2">
                  <c:v>61.8</c:v>
                </c:pt>
                <c:pt idx="3">
                  <c:v>66.599999999999994</c:v>
                </c:pt>
              </c:numCache>
            </c:numRef>
          </c:val>
          <c:extLst>
            <c:ext xmlns:c16="http://schemas.microsoft.com/office/drawing/2014/chart" uri="{C3380CC4-5D6E-409C-BE32-E72D297353CC}">
              <c16:uniqueId val="{00000002-BC7D-4A5A-9BBE-70107ECB5F55}"/>
            </c:ext>
          </c:extLst>
        </c:ser>
        <c:ser>
          <c:idx val="3"/>
          <c:order val="3"/>
          <c:tx>
            <c:strRef>
              <c:f>' Bezüge 1'!$E$128</c:f>
              <c:strCache>
                <c:ptCount val="1"/>
                <c:pt idx="0">
                  <c:v>stark</c:v>
                </c:pt>
              </c:strCache>
            </c:strRef>
          </c:tx>
          <c:spPr>
            <a:solidFill>
              <a:srgbClr val="FF0000"/>
            </a:solidFill>
            <a:ln>
              <a:noFill/>
            </a:ln>
            <a:effectLst/>
          </c:spPr>
          <c:invertIfNegative val="0"/>
          <c:cat>
            <c:strRef>
              <c:f>' Bezüge 1'!$A$129:$A$132</c:f>
              <c:strCache>
                <c:ptCount val="4"/>
                <c:pt idx="0">
                  <c:v>1. Jahr Mais</c:v>
                </c:pt>
                <c:pt idx="1">
                  <c:v>2. Jahr Mais bzw. mit 2 Jahren Zwischenkultur</c:v>
                </c:pt>
                <c:pt idx="2">
                  <c:v>3. Jahr Mais bzw. mit 1 Jahr Zwischenkultur</c:v>
                </c:pt>
                <c:pt idx="3">
                  <c:v>ab 4. Jahr Mais (Versuchsfelder)</c:v>
                </c:pt>
              </c:strCache>
            </c:strRef>
          </c:cat>
          <c:val>
            <c:numRef>
              <c:f>' Bezüge 1'!$E$129:$E$132</c:f>
              <c:numCache>
                <c:formatCode>General</c:formatCode>
                <c:ptCount val="4"/>
                <c:pt idx="2">
                  <c:v>8.8000000000000007</c:v>
                </c:pt>
                <c:pt idx="3">
                  <c:v>16.7</c:v>
                </c:pt>
              </c:numCache>
            </c:numRef>
          </c:val>
          <c:extLst>
            <c:ext xmlns:c16="http://schemas.microsoft.com/office/drawing/2014/chart" uri="{C3380CC4-5D6E-409C-BE32-E72D297353CC}">
              <c16:uniqueId val="{00000003-BC7D-4A5A-9BBE-70107ECB5F55}"/>
            </c:ext>
          </c:extLst>
        </c:ser>
        <c:dLbls>
          <c:showLegendKey val="0"/>
          <c:showVal val="0"/>
          <c:showCatName val="0"/>
          <c:showSerName val="0"/>
          <c:showPercent val="0"/>
          <c:showBubbleSize val="0"/>
        </c:dLbls>
        <c:gapWidth val="150"/>
        <c:overlap val="100"/>
        <c:axId val="109365504"/>
        <c:axId val="109379584"/>
      </c:barChart>
      <c:catAx>
        <c:axId val="109365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9379584"/>
        <c:crosses val="autoZero"/>
        <c:auto val="1"/>
        <c:lblAlgn val="ctr"/>
        <c:lblOffset val="100"/>
        <c:noMultiLvlLbl val="0"/>
      </c:catAx>
      <c:valAx>
        <c:axId val="1093795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93655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de-AT" sz="1400" b="0" i="0" baseline="0">
                <a:effectLst/>
              </a:rPr>
              <a:t>Befallsgrad der Kultur durch D. virgifera in Abhängigkeit des Beobachtungsjahres</a:t>
            </a:r>
            <a:endParaRPr lang="de-AT" sz="1400">
              <a:effectLst/>
            </a:endParaRPr>
          </a:p>
        </c:rich>
      </c:tx>
      <c:overlay val="0"/>
      <c:spPr>
        <a:noFill/>
        <a:ln>
          <a:noFill/>
        </a:ln>
        <a:effectLst/>
      </c:spPr>
    </c:title>
    <c:autoTitleDeleted val="0"/>
    <c:plotArea>
      <c:layout/>
      <c:barChart>
        <c:barDir val="col"/>
        <c:grouping val="percentStacked"/>
        <c:varyColors val="0"/>
        <c:ser>
          <c:idx val="0"/>
          <c:order val="0"/>
          <c:tx>
            <c:strRef>
              <c:f>'Bezüge 2'!$B$137</c:f>
              <c:strCache>
                <c:ptCount val="1"/>
                <c:pt idx="0">
                  <c:v>kein Befall</c:v>
                </c:pt>
              </c:strCache>
            </c:strRef>
          </c:tx>
          <c:spPr>
            <a:solidFill>
              <a:schemeClr val="accent3"/>
            </a:solidFill>
            <a:ln>
              <a:noFill/>
            </a:ln>
            <a:effectLst/>
          </c:spPr>
          <c:invertIfNegative val="0"/>
          <c:cat>
            <c:numRef>
              <c:f>'Bezüge 2'!$A$138:$A$140</c:f>
              <c:numCache>
                <c:formatCode>General</c:formatCode>
                <c:ptCount val="3"/>
                <c:pt idx="0">
                  <c:v>2015</c:v>
                </c:pt>
                <c:pt idx="1">
                  <c:v>2016</c:v>
                </c:pt>
                <c:pt idx="2">
                  <c:v>2017</c:v>
                </c:pt>
              </c:numCache>
            </c:numRef>
          </c:cat>
          <c:val>
            <c:numRef>
              <c:f>'Bezüge 2'!$B$138:$B$140</c:f>
              <c:numCache>
                <c:formatCode>General</c:formatCode>
                <c:ptCount val="3"/>
                <c:pt idx="0">
                  <c:v>2</c:v>
                </c:pt>
                <c:pt idx="1">
                  <c:v>1</c:v>
                </c:pt>
              </c:numCache>
            </c:numRef>
          </c:val>
          <c:extLst>
            <c:ext xmlns:c16="http://schemas.microsoft.com/office/drawing/2014/chart" uri="{C3380CC4-5D6E-409C-BE32-E72D297353CC}">
              <c16:uniqueId val="{00000000-154F-4BFF-ABB8-6000B72A2379}"/>
            </c:ext>
          </c:extLst>
        </c:ser>
        <c:ser>
          <c:idx val="1"/>
          <c:order val="1"/>
          <c:tx>
            <c:strRef>
              <c:f>'Bezüge 2'!$C$137</c:f>
              <c:strCache>
                <c:ptCount val="1"/>
                <c:pt idx="0">
                  <c:v>Befall leicht</c:v>
                </c:pt>
              </c:strCache>
            </c:strRef>
          </c:tx>
          <c:spPr>
            <a:solidFill>
              <a:srgbClr val="FFC000"/>
            </a:solidFill>
            <a:ln>
              <a:noFill/>
            </a:ln>
            <a:effectLst/>
          </c:spPr>
          <c:invertIfNegative val="0"/>
          <c:cat>
            <c:numRef>
              <c:f>'Bezüge 2'!$A$138:$A$140</c:f>
              <c:numCache>
                <c:formatCode>General</c:formatCode>
                <c:ptCount val="3"/>
                <c:pt idx="0">
                  <c:v>2015</c:v>
                </c:pt>
                <c:pt idx="1">
                  <c:v>2016</c:v>
                </c:pt>
                <c:pt idx="2">
                  <c:v>2017</c:v>
                </c:pt>
              </c:numCache>
            </c:numRef>
          </c:cat>
          <c:val>
            <c:numRef>
              <c:f>'Bezüge 2'!$C$138:$C$140</c:f>
              <c:numCache>
                <c:formatCode>General</c:formatCode>
                <c:ptCount val="3"/>
                <c:pt idx="0">
                  <c:v>1</c:v>
                </c:pt>
                <c:pt idx="1">
                  <c:v>16</c:v>
                </c:pt>
                <c:pt idx="2">
                  <c:v>5</c:v>
                </c:pt>
              </c:numCache>
            </c:numRef>
          </c:val>
          <c:extLst>
            <c:ext xmlns:c16="http://schemas.microsoft.com/office/drawing/2014/chart" uri="{C3380CC4-5D6E-409C-BE32-E72D297353CC}">
              <c16:uniqueId val="{00000001-154F-4BFF-ABB8-6000B72A2379}"/>
            </c:ext>
          </c:extLst>
        </c:ser>
        <c:ser>
          <c:idx val="2"/>
          <c:order val="2"/>
          <c:tx>
            <c:strRef>
              <c:f>'Bezüge 2'!$D$137</c:f>
              <c:strCache>
                <c:ptCount val="1"/>
                <c:pt idx="0">
                  <c:v>Befall mittel</c:v>
                </c:pt>
              </c:strCache>
            </c:strRef>
          </c:tx>
          <c:spPr>
            <a:solidFill>
              <a:srgbClr val="F68C18"/>
            </a:solidFill>
            <a:ln>
              <a:noFill/>
            </a:ln>
            <a:effectLst/>
          </c:spPr>
          <c:invertIfNegative val="0"/>
          <c:cat>
            <c:numRef>
              <c:f>'Bezüge 2'!$A$138:$A$140</c:f>
              <c:numCache>
                <c:formatCode>General</c:formatCode>
                <c:ptCount val="3"/>
                <c:pt idx="0">
                  <c:v>2015</c:v>
                </c:pt>
                <c:pt idx="1">
                  <c:v>2016</c:v>
                </c:pt>
                <c:pt idx="2">
                  <c:v>2017</c:v>
                </c:pt>
              </c:numCache>
            </c:numRef>
          </c:cat>
          <c:val>
            <c:numRef>
              <c:f>'Bezüge 2'!$D$138:$D$140</c:f>
              <c:numCache>
                <c:formatCode>General</c:formatCode>
                <c:ptCount val="3"/>
                <c:pt idx="0">
                  <c:v>11</c:v>
                </c:pt>
                <c:pt idx="1">
                  <c:v>18</c:v>
                </c:pt>
                <c:pt idx="2">
                  <c:v>23</c:v>
                </c:pt>
              </c:numCache>
            </c:numRef>
          </c:val>
          <c:extLst>
            <c:ext xmlns:c16="http://schemas.microsoft.com/office/drawing/2014/chart" uri="{C3380CC4-5D6E-409C-BE32-E72D297353CC}">
              <c16:uniqueId val="{00000002-154F-4BFF-ABB8-6000B72A2379}"/>
            </c:ext>
          </c:extLst>
        </c:ser>
        <c:ser>
          <c:idx val="3"/>
          <c:order val="3"/>
          <c:tx>
            <c:strRef>
              <c:f>'Bezüge 2'!$E$137</c:f>
              <c:strCache>
                <c:ptCount val="1"/>
                <c:pt idx="0">
                  <c:v>Befall stark</c:v>
                </c:pt>
              </c:strCache>
            </c:strRef>
          </c:tx>
          <c:spPr>
            <a:solidFill>
              <a:srgbClr val="FF0000"/>
            </a:solidFill>
            <a:ln>
              <a:noFill/>
            </a:ln>
            <a:effectLst/>
          </c:spPr>
          <c:invertIfNegative val="0"/>
          <c:cat>
            <c:numRef>
              <c:f>'Bezüge 2'!$A$138:$A$140</c:f>
              <c:numCache>
                <c:formatCode>General</c:formatCode>
                <c:ptCount val="3"/>
                <c:pt idx="0">
                  <c:v>2015</c:v>
                </c:pt>
                <c:pt idx="1">
                  <c:v>2016</c:v>
                </c:pt>
                <c:pt idx="2">
                  <c:v>2017</c:v>
                </c:pt>
              </c:numCache>
            </c:numRef>
          </c:cat>
          <c:val>
            <c:numRef>
              <c:f>'Bezüge 2'!$E$138:$E$140</c:f>
              <c:numCache>
                <c:formatCode>General</c:formatCode>
                <c:ptCount val="3"/>
                <c:pt idx="1">
                  <c:v>5</c:v>
                </c:pt>
                <c:pt idx="2">
                  <c:v>2</c:v>
                </c:pt>
              </c:numCache>
            </c:numRef>
          </c:val>
          <c:extLst>
            <c:ext xmlns:c16="http://schemas.microsoft.com/office/drawing/2014/chart" uri="{C3380CC4-5D6E-409C-BE32-E72D297353CC}">
              <c16:uniqueId val="{00000003-154F-4BFF-ABB8-6000B72A2379}"/>
            </c:ext>
          </c:extLst>
        </c:ser>
        <c:dLbls>
          <c:showLegendKey val="0"/>
          <c:showVal val="0"/>
          <c:showCatName val="0"/>
          <c:showSerName val="0"/>
          <c:showPercent val="0"/>
          <c:showBubbleSize val="0"/>
        </c:dLbls>
        <c:gapWidth val="150"/>
        <c:overlap val="100"/>
        <c:axId val="109432832"/>
        <c:axId val="109434368"/>
      </c:barChart>
      <c:catAx>
        <c:axId val="109432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9434368"/>
        <c:crosses val="autoZero"/>
        <c:auto val="1"/>
        <c:lblAlgn val="ctr"/>
        <c:lblOffset val="100"/>
        <c:noMultiLvlLbl val="0"/>
      </c:catAx>
      <c:valAx>
        <c:axId val="1094343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9432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de-AT"/>
              <a:t>Larvenmortalität durch Nematoden in</a:t>
            </a:r>
            <a:r>
              <a:rPr lang="de-AT" baseline="0"/>
              <a:t> %, </a:t>
            </a:r>
          </a:p>
          <a:p>
            <a:pPr>
              <a:defRPr/>
            </a:pPr>
            <a:r>
              <a:rPr lang="de-AT" baseline="0"/>
              <a:t>n= 60, Mai 2017</a:t>
            </a:r>
            <a:endParaRPr lang="de-AT"/>
          </a:p>
        </c:rich>
      </c:tx>
      <c:layout>
        <c:manualLayout>
          <c:xMode val="edge"/>
          <c:yMode val="edge"/>
          <c:x val="0.17747483022511504"/>
          <c:y val="0"/>
        </c:manualLayout>
      </c:layout>
      <c:overlay val="1"/>
    </c:title>
    <c:autoTitleDeleted val="0"/>
    <c:plotArea>
      <c:layout>
        <c:manualLayout>
          <c:layoutTarget val="inner"/>
          <c:xMode val="edge"/>
          <c:yMode val="edge"/>
          <c:x val="0.11338735365031066"/>
          <c:y val="0.16193131786504195"/>
          <c:w val="0.79288954749153961"/>
          <c:h val="0.53295593771785221"/>
        </c:manualLayout>
      </c:layout>
      <c:barChart>
        <c:barDir val="col"/>
        <c:grouping val="clustered"/>
        <c:varyColors val="0"/>
        <c:ser>
          <c:idx val="0"/>
          <c:order val="0"/>
          <c:tx>
            <c:strRef>
              <c:f>'Methodenvergleich 2017'!$B$71</c:f>
              <c:strCache>
                <c:ptCount val="1"/>
                <c:pt idx="0">
                  <c:v>Mittelwert</c:v>
                </c:pt>
              </c:strCache>
            </c:strRef>
          </c:tx>
          <c:invertIfNegative val="0"/>
          <c:cat>
            <c:strRef>
              <c:f>'Methodenvergleich 2017'!$A$72:$A$87</c:f>
              <c:strCache>
                <c:ptCount val="16"/>
                <c:pt idx="0">
                  <c:v>Gersdorf</c:v>
                </c:pt>
                <c:pt idx="1">
                  <c:v>Lichendorf 1</c:v>
                </c:pt>
                <c:pt idx="2">
                  <c:v>Schwarza 1</c:v>
                </c:pt>
                <c:pt idx="3">
                  <c:v>Lichendorf 2</c:v>
                </c:pt>
                <c:pt idx="4">
                  <c:v>Lichendorf 2 UK Kürbis</c:v>
                </c:pt>
                <c:pt idx="5">
                  <c:v>Lichendorf 2 UK Kanal</c:v>
                </c:pt>
                <c:pt idx="6">
                  <c:v>Schwarza 2</c:v>
                </c:pt>
                <c:pt idx="7">
                  <c:v>Schwarza 2 UK Getreide</c:v>
                </c:pt>
                <c:pt idx="8">
                  <c:v>Schwarza 3</c:v>
                </c:pt>
                <c:pt idx="9">
                  <c:v>Lichendorf V</c:v>
                </c:pt>
                <c:pt idx="10">
                  <c:v>Lichendorf V UK</c:v>
                </c:pt>
                <c:pt idx="11">
                  <c:v>Lichendorf 3</c:v>
                </c:pt>
                <c:pt idx="12">
                  <c:v>Schwarza 4</c:v>
                </c:pt>
                <c:pt idx="13">
                  <c:v>Schwarza V</c:v>
                </c:pt>
                <c:pt idx="14">
                  <c:v>Schwarza V UK</c:v>
                </c:pt>
                <c:pt idx="15">
                  <c:v>Lichendorf 4</c:v>
                </c:pt>
              </c:strCache>
            </c:strRef>
          </c:cat>
          <c:val>
            <c:numRef>
              <c:f>'Methodenvergleich 2017'!$B$72:$B$87</c:f>
              <c:numCache>
                <c:formatCode>0.00</c:formatCode>
                <c:ptCount val="16"/>
                <c:pt idx="0">
                  <c:v>86</c:v>
                </c:pt>
                <c:pt idx="1">
                  <c:v>88.299663299663294</c:v>
                </c:pt>
                <c:pt idx="2">
                  <c:v>93</c:v>
                </c:pt>
                <c:pt idx="3">
                  <c:v>72</c:v>
                </c:pt>
                <c:pt idx="4">
                  <c:v>0</c:v>
                </c:pt>
                <c:pt idx="5">
                  <c:v>3</c:v>
                </c:pt>
                <c:pt idx="6">
                  <c:v>73</c:v>
                </c:pt>
                <c:pt idx="7">
                  <c:v>0</c:v>
                </c:pt>
                <c:pt idx="8">
                  <c:v>50</c:v>
                </c:pt>
                <c:pt idx="9">
                  <c:v>78</c:v>
                </c:pt>
                <c:pt idx="10">
                  <c:v>32</c:v>
                </c:pt>
                <c:pt idx="11">
                  <c:v>70</c:v>
                </c:pt>
                <c:pt idx="12">
                  <c:v>67</c:v>
                </c:pt>
                <c:pt idx="13">
                  <c:v>67</c:v>
                </c:pt>
                <c:pt idx="14">
                  <c:v>4</c:v>
                </c:pt>
                <c:pt idx="15">
                  <c:v>72</c:v>
                </c:pt>
              </c:numCache>
            </c:numRef>
          </c:val>
          <c:extLst>
            <c:ext xmlns:c16="http://schemas.microsoft.com/office/drawing/2014/chart" uri="{C3380CC4-5D6E-409C-BE32-E72D297353CC}">
              <c16:uniqueId val="{00000000-FBE5-4B9A-B192-A314A2DE7CE8}"/>
            </c:ext>
          </c:extLst>
        </c:ser>
        <c:dLbls>
          <c:showLegendKey val="0"/>
          <c:showVal val="0"/>
          <c:showCatName val="0"/>
          <c:showSerName val="0"/>
          <c:showPercent val="0"/>
          <c:showBubbleSize val="0"/>
        </c:dLbls>
        <c:gapWidth val="150"/>
        <c:axId val="101654528"/>
        <c:axId val="101656064"/>
      </c:barChart>
      <c:lineChart>
        <c:grouping val="standard"/>
        <c:varyColors val="0"/>
        <c:ser>
          <c:idx val="2"/>
          <c:order val="1"/>
          <c:tx>
            <c:strRef>
              <c:f>'Methodenvergleich 2017'!$D$71</c:f>
              <c:strCache>
                <c:ptCount val="1"/>
                <c:pt idx="0">
                  <c:v>Entfernung von der Mur in  Metern</c:v>
                </c:pt>
              </c:strCache>
            </c:strRef>
          </c:tx>
          <c:marker>
            <c:symbol val="none"/>
          </c:marker>
          <c:cat>
            <c:strRef>
              <c:f>'Methodenvergleich 2017'!$A$72:$A$87</c:f>
              <c:strCache>
                <c:ptCount val="16"/>
                <c:pt idx="0">
                  <c:v>Gersdorf</c:v>
                </c:pt>
                <c:pt idx="1">
                  <c:v>Lichendorf 1</c:v>
                </c:pt>
                <c:pt idx="2">
                  <c:v>Schwarza 1</c:v>
                </c:pt>
                <c:pt idx="3">
                  <c:v>Lichendorf 2</c:v>
                </c:pt>
                <c:pt idx="4">
                  <c:v>Lichendorf 2 UK Kürbis</c:v>
                </c:pt>
                <c:pt idx="5">
                  <c:v>Lichendorf 2 UK Kanal</c:v>
                </c:pt>
                <c:pt idx="6">
                  <c:v>Schwarza 2</c:v>
                </c:pt>
                <c:pt idx="7">
                  <c:v>Schwarza 2 UK Getreide</c:v>
                </c:pt>
                <c:pt idx="8">
                  <c:v>Schwarza 3</c:v>
                </c:pt>
                <c:pt idx="9">
                  <c:v>Lichendorf V</c:v>
                </c:pt>
                <c:pt idx="10">
                  <c:v>Lichendorf V UK</c:v>
                </c:pt>
                <c:pt idx="11">
                  <c:v>Lichendorf 3</c:v>
                </c:pt>
                <c:pt idx="12">
                  <c:v>Schwarza 4</c:v>
                </c:pt>
                <c:pt idx="13">
                  <c:v>Schwarza V</c:v>
                </c:pt>
                <c:pt idx="14">
                  <c:v>Schwarza V UK</c:v>
                </c:pt>
                <c:pt idx="15">
                  <c:v>Lichendorf 4</c:v>
                </c:pt>
              </c:strCache>
            </c:strRef>
          </c:cat>
          <c:val>
            <c:numRef>
              <c:f>'Methodenvergleich 2017'!$D$72:$D$87</c:f>
              <c:numCache>
                <c:formatCode>General</c:formatCode>
                <c:ptCount val="16"/>
                <c:pt idx="0">
                  <c:v>150</c:v>
                </c:pt>
                <c:pt idx="1">
                  <c:v>280</c:v>
                </c:pt>
                <c:pt idx="2">
                  <c:v>380</c:v>
                </c:pt>
                <c:pt idx="3">
                  <c:v>540</c:v>
                </c:pt>
                <c:pt idx="4">
                  <c:v>540</c:v>
                </c:pt>
                <c:pt idx="5">
                  <c:v>540</c:v>
                </c:pt>
                <c:pt idx="6">
                  <c:v>820</c:v>
                </c:pt>
                <c:pt idx="7">
                  <c:v>820</c:v>
                </c:pt>
                <c:pt idx="8">
                  <c:v>950</c:v>
                </c:pt>
                <c:pt idx="9">
                  <c:v>1130</c:v>
                </c:pt>
                <c:pt idx="10">
                  <c:v>1130</c:v>
                </c:pt>
                <c:pt idx="11">
                  <c:v>1340</c:v>
                </c:pt>
                <c:pt idx="12">
                  <c:v>1590</c:v>
                </c:pt>
                <c:pt idx="13">
                  <c:v>1620</c:v>
                </c:pt>
                <c:pt idx="14">
                  <c:v>1620</c:v>
                </c:pt>
                <c:pt idx="15">
                  <c:v>1830</c:v>
                </c:pt>
              </c:numCache>
            </c:numRef>
          </c:val>
          <c:smooth val="0"/>
          <c:extLst>
            <c:ext xmlns:c16="http://schemas.microsoft.com/office/drawing/2014/chart" uri="{C3380CC4-5D6E-409C-BE32-E72D297353CC}">
              <c16:uniqueId val="{00000001-FBE5-4B9A-B192-A314A2DE7CE8}"/>
            </c:ext>
          </c:extLst>
        </c:ser>
        <c:dLbls>
          <c:showLegendKey val="0"/>
          <c:showVal val="0"/>
          <c:showCatName val="0"/>
          <c:showSerName val="0"/>
          <c:showPercent val="0"/>
          <c:showBubbleSize val="0"/>
        </c:dLbls>
        <c:marker val="1"/>
        <c:smooth val="0"/>
        <c:axId val="101659392"/>
        <c:axId val="101657600"/>
      </c:lineChart>
      <c:catAx>
        <c:axId val="101654528"/>
        <c:scaling>
          <c:orientation val="minMax"/>
        </c:scaling>
        <c:delete val="0"/>
        <c:axPos val="b"/>
        <c:numFmt formatCode="General" sourceLinked="0"/>
        <c:majorTickMark val="out"/>
        <c:minorTickMark val="none"/>
        <c:tickLblPos val="nextTo"/>
        <c:crossAx val="101656064"/>
        <c:crosses val="autoZero"/>
        <c:auto val="1"/>
        <c:lblAlgn val="ctr"/>
        <c:lblOffset val="100"/>
        <c:noMultiLvlLbl val="0"/>
      </c:catAx>
      <c:valAx>
        <c:axId val="101656064"/>
        <c:scaling>
          <c:orientation val="minMax"/>
        </c:scaling>
        <c:delete val="0"/>
        <c:axPos val="l"/>
        <c:majorGridlines/>
        <c:numFmt formatCode="0.00" sourceLinked="1"/>
        <c:majorTickMark val="out"/>
        <c:minorTickMark val="none"/>
        <c:tickLblPos val="nextTo"/>
        <c:crossAx val="101654528"/>
        <c:crosses val="autoZero"/>
        <c:crossBetween val="between"/>
      </c:valAx>
      <c:valAx>
        <c:axId val="101657600"/>
        <c:scaling>
          <c:orientation val="minMax"/>
        </c:scaling>
        <c:delete val="0"/>
        <c:axPos val="r"/>
        <c:numFmt formatCode="General" sourceLinked="1"/>
        <c:majorTickMark val="out"/>
        <c:minorTickMark val="none"/>
        <c:tickLblPos val="nextTo"/>
        <c:crossAx val="101659392"/>
        <c:crosses val="max"/>
        <c:crossBetween val="between"/>
      </c:valAx>
      <c:catAx>
        <c:axId val="101659392"/>
        <c:scaling>
          <c:orientation val="minMax"/>
        </c:scaling>
        <c:delete val="1"/>
        <c:axPos val="b"/>
        <c:numFmt formatCode="General" sourceLinked="1"/>
        <c:majorTickMark val="out"/>
        <c:minorTickMark val="none"/>
        <c:tickLblPos val="none"/>
        <c:crossAx val="101657600"/>
        <c:crosses val="autoZero"/>
        <c:auto val="1"/>
        <c:lblAlgn val="ctr"/>
        <c:lblOffset val="100"/>
        <c:noMultiLvlLbl val="0"/>
      </c:catAx>
    </c:plotArea>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AT"/>
              <a:t>Lagerung des Maises in Abhängigkeit der Vorfrüchte</a:t>
            </a:r>
          </a:p>
        </c:rich>
      </c:tx>
      <c:overlay val="0"/>
      <c:spPr>
        <a:noFill/>
        <a:ln>
          <a:noFill/>
        </a:ln>
        <a:effectLst/>
      </c:spPr>
    </c:title>
    <c:autoTitleDeleted val="0"/>
    <c:plotArea>
      <c:layout/>
      <c:barChart>
        <c:barDir val="col"/>
        <c:grouping val="percentStacked"/>
        <c:varyColors val="0"/>
        <c:ser>
          <c:idx val="0"/>
          <c:order val="0"/>
          <c:tx>
            <c:strRef>
              <c:f>'Bezüge 2'!$B$159</c:f>
              <c:strCache>
                <c:ptCount val="1"/>
                <c:pt idx="0">
                  <c:v>0% Lagerung</c:v>
                </c:pt>
              </c:strCache>
            </c:strRef>
          </c:tx>
          <c:spPr>
            <a:solidFill>
              <a:schemeClr val="accent3"/>
            </a:solidFill>
            <a:ln>
              <a:noFill/>
            </a:ln>
            <a:effectLst/>
          </c:spPr>
          <c:invertIfNegative val="0"/>
          <c:cat>
            <c:strRef>
              <c:f>'Bezüge 2'!$A$160:$A$162</c:f>
              <c:strCache>
                <c:ptCount val="3"/>
                <c:pt idx="0">
                  <c:v>Vorfrucht Mais</c:v>
                </c:pt>
                <c:pt idx="1">
                  <c:v>1 Jahr Zwischenfrucht</c:v>
                </c:pt>
                <c:pt idx="2">
                  <c:v>mind. 3 Jahre Zwischenfrucht</c:v>
                </c:pt>
              </c:strCache>
            </c:strRef>
          </c:cat>
          <c:val>
            <c:numRef>
              <c:f>'Bezüge 2'!$B$160:$B$162</c:f>
              <c:numCache>
                <c:formatCode>General</c:formatCode>
                <c:ptCount val="3"/>
                <c:pt idx="0">
                  <c:v>23</c:v>
                </c:pt>
                <c:pt idx="1">
                  <c:v>24</c:v>
                </c:pt>
                <c:pt idx="2">
                  <c:v>4</c:v>
                </c:pt>
              </c:numCache>
            </c:numRef>
          </c:val>
          <c:extLst>
            <c:ext xmlns:c16="http://schemas.microsoft.com/office/drawing/2014/chart" uri="{C3380CC4-5D6E-409C-BE32-E72D297353CC}">
              <c16:uniqueId val="{00000000-7695-46A3-B57E-3E848A77D75E}"/>
            </c:ext>
          </c:extLst>
        </c:ser>
        <c:ser>
          <c:idx val="1"/>
          <c:order val="1"/>
          <c:tx>
            <c:strRef>
              <c:f>'Bezüge 2'!$C$159</c:f>
              <c:strCache>
                <c:ptCount val="1"/>
                <c:pt idx="0">
                  <c:v> 1-10 % Lagerung</c:v>
                </c:pt>
              </c:strCache>
            </c:strRef>
          </c:tx>
          <c:spPr>
            <a:solidFill>
              <a:srgbClr val="FFC000"/>
            </a:solidFill>
            <a:ln>
              <a:noFill/>
            </a:ln>
            <a:effectLst/>
          </c:spPr>
          <c:invertIfNegative val="0"/>
          <c:cat>
            <c:strRef>
              <c:f>'Bezüge 2'!$A$160:$A$162</c:f>
              <c:strCache>
                <c:ptCount val="3"/>
                <c:pt idx="0">
                  <c:v>Vorfrucht Mais</c:v>
                </c:pt>
                <c:pt idx="1">
                  <c:v>1 Jahr Zwischenfrucht</c:v>
                </c:pt>
                <c:pt idx="2">
                  <c:v>mind. 3 Jahre Zwischenfrucht</c:v>
                </c:pt>
              </c:strCache>
            </c:strRef>
          </c:cat>
          <c:val>
            <c:numRef>
              <c:f>'Bezüge 2'!$C$160:$C$162</c:f>
              <c:numCache>
                <c:formatCode>General</c:formatCode>
                <c:ptCount val="3"/>
                <c:pt idx="0">
                  <c:v>15</c:v>
                </c:pt>
                <c:pt idx="1">
                  <c:v>8</c:v>
                </c:pt>
              </c:numCache>
            </c:numRef>
          </c:val>
          <c:extLst>
            <c:ext xmlns:c16="http://schemas.microsoft.com/office/drawing/2014/chart" uri="{C3380CC4-5D6E-409C-BE32-E72D297353CC}">
              <c16:uniqueId val="{00000001-7695-46A3-B57E-3E848A77D75E}"/>
            </c:ext>
          </c:extLst>
        </c:ser>
        <c:ser>
          <c:idx val="2"/>
          <c:order val="2"/>
          <c:tx>
            <c:strRef>
              <c:f>'Bezüge 2'!$D$159</c:f>
              <c:strCache>
                <c:ptCount val="1"/>
                <c:pt idx="0">
                  <c:v> 11-25 % Lagerung</c:v>
                </c:pt>
              </c:strCache>
            </c:strRef>
          </c:tx>
          <c:spPr>
            <a:solidFill>
              <a:srgbClr val="F68C18"/>
            </a:solidFill>
            <a:ln>
              <a:noFill/>
            </a:ln>
            <a:effectLst/>
          </c:spPr>
          <c:invertIfNegative val="0"/>
          <c:cat>
            <c:strRef>
              <c:f>'Bezüge 2'!$A$160:$A$162</c:f>
              <c:strCache>
                <c:ptCount val="3"/>
                <c:pt idx="0">
                  <c:v>Vorfrucht Mais</c:v>
                </c:pt>
                <c:pt idx="1">
                  <c:v>1 Jahr Zwischenfrucht</c:v>
                </c:pt>
                <c:pt idx="2">
                  <c:v>mind. 3 Jahre Zwischenfrucht</c:v>
                </c:pt>
              </c:strCache>
            </c:strRef>
          </c:cat>
          <c:val>
            <c:numRef>
              <c:f>'Bezüge 2'!$D$160:$D$162</c:f>
              <c:numCache>
                <c:formatCode>General</c:formatCode>
                <c:ptCount val="3"/>
                <c:pt idx="0">
                  <c:v>1</c:v>
                </c:pt>
                <c:pt idx="1">
                  <c:v>1</c:v>
                </c:pt>
              </c:numCache>
            </c:numRef>
          </c:val>
          <c:extLst>
            <c:ext xmlns:c16="http://schemas.microsoft.com/office/drawing/2014/chart" uri="{C3380CC4-5D6E-409C-BE32-E72D297353CC}">
              <c16:uniqueId val="{00000002-7695-46A3-B57E-3E848A77D75E}"/>
            </c:ext>
          </c:extLst>
        </c:ser>
        <c:ser>
          <c:idx val="3"/>
          <c:order val="3"/>
          <c:tx>
            <c:strRef>
              <c:f>'Bezüge 2'!$E$159</c:f>
              <c:strCache>
                <c:ptCount val="1"/>
                <c:pt idx="0">
                  <c:v> 26-50 % Lagerung</c:v>
                </c:pt>
              </c:strCache>
            </c:strRef>
          </c:tx>
          <c:spPr>
            <a:solidFill>
              <a:srgbClr val="FF0000"/>
            </a:solidFill>
            <a:ln>
              <a:noFill/>
            </a:ln>
            <a:effectLst/>
          </c:spPr>
          <c:invertIfNegative val="0"/>
          <c:cat>
            <c:strRef>
              <c:f>'Bezüge 2'!$A$160:$A$162</c:f>
              <c:strCache>
                <c:ptCount val="3"/>
                <c:pt idx="0">
                  <c:v>Vorfrucht Mais</c:v>
                </c:pt>
                <c:pt idx="1">
                  <c:v>1 Jahr Zwischenfrucht</c:v>
                </c:pt>
                <c:pt idx="2">
                  <c:v>mind. 3 Jahre Zwischenfrucht</c:v>
                </c:pt>
              </c:strCache>
            </c:strRef>
          </c:cat>
          <c:val>
            <c:numRef>
              <c:f>'Bezüge 2'!$E$160:$E$162</c:f>
              <c:numCache>
                <c:formatCode>General</c:formatCode>
                <c:ptCount val="3"/>
                <c:pt idx="0">
                  <c:v>5</c:v>
                </c:pt>
                <c:pt idx="1">
                  <c:v>0</c:v>
                </c:pt>
              </c:numCache>
            </c:numRef>
          </c:val>
          <c:extLst>
            <c:ext xmlns:c16="http://schemas.microsoft.com/office/drawing/2014/chart" uri="{C3380CC4-5D6E-409C-BE32-E72D297353CC}">
              <c16:uniqueId val="{00000003-7695-46A3-B57E-3E848A77D75E}"/>
            </c:ext>
          </c:extLst>
        </c:ser>
        <c:dLbls>
          <c:showLegendKey val="0"/>
          <c:showVal val="0"/>
          <c:showCatName val="0"/>
          <c:showSerName val="0"/>
          <c:showPercent val="0"/>
          <c:showBubbleSize val="0"/>
        </c:dLbls>
        <c:gapWidth val="150"/>
        <c:overlap val="100"/>
        <c:axId val="109491712"/>
        <c:axId val="109493248"/>
      </c:barChart>
      <c:catAx>
        <c:axId val="109491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9493248"/>
        <c:crosses val="autoZero"/>
        <c:auto val="1"/>
        <c:lblAlgn val="ctr"/>
        <c:lblOffset val="100"/>
        <c:noMultiLvlLbl val="0"/>
      </c:catAx>
      <c:valAx>
        <c:axId val="1094932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9491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AT"/>
              <a:t>Prozentsatz</a:t>
            </a:r>
            <a:r>
              <a:rPr lang="de-AT" baseline="0"/>
              <a:t> liegender Pflanzen pro Feld bei genannten Sorten</a:t>
            </a:r>
            <a:endParaRPr lang="de-AT"/>
          </a:p>
        </c:rich>
      </c:tx>
      <c:overlay val="0"/>
      <c:spPr>
        <a:noFill/>
        <a:ln>
          <a:noFill/>
        </a:ln>
        <a:effectLst/>
      </c:spPr>
    </c:title>
    <c:autoTitleDeleted val="0"/>
    <c:plotArea>
      <c:layout/>
      <c:barChart>
        <c:barDir val="col"/>
        <c:grouping val="percentStacked"/>
        <c:varyColors val="0"/>
        <c:ser>
          <c:idx val="0"/>
          <c:order val="0"/>
          <c:tx>
            <c:strRef>
              <c:f>' Bezüge 1'!$AA$141</c:f>
              <c:strCache>
                <c:ptCount val="1"/>
                <c:pt idx="0">
                  <c:v>0%</c:v>
                </c:pt>
              </c:strCache>
            </c:strRef>
          </c:tx>
          <c:spPr>
            <a:solidFill>
              <a:schemeClr val="accent3"/>
            </a:solidFill>
            <a:ln>
              <a:noFill/>
            </a:ln>
            <a:effectLst/>
          </c:spPr>
          <c:invertIfNegative val="0"/>
          <c:cat>
            <c:strRef>
              <c:f>' Bezüge 1'!$Z$142:$Z$146</c:f>
              <c:strCache>
                <c:ptCount val="5"/>
                <c:pt idx="0">
                  <c:v>Connexxion</c:v>
                </c:pt>
                <c:pt idx="1">
                  <c:v>Ferarixx </c:v>
                </c:pt>
                <c:pt idx="2">
                  <c:v>MAS 40 F</c:v>
                </c:pt>
                <c:pt idx="3">
                  <c:v>MAS 47 P</c:v>
                </c:pt>
                <c:pt idx="4">
                  <c:v>memoxx</c:v>
                </c:pt>
              </c:strCache>
            </c:strRef>
          </c:cat>
          <c:val>
            <c:numRef>
              <c:f>' Bezüge 1'!$AA$142:$AA$146</c:f>
              <c:numCache>
                <c:formatCode>General</c:formatCode>
                <c:ptCount val="5"/>
                <c:pt idx="0">
                  <c:v>75</c:v>
                </c:pt>
                <c:pt idx="1">
                  <c:v>75</c:v>
                </c:pt>
                <c:pt idx="2">
                  <c:v>67.900000000000006</c:v>
                </c:pt>
                <c:pt idx="3">
                  <c:v>60</c:v>
                </c:pt>
                <c:pt idx="4">
                  <c:v>33.299999999999997</c:v>
                </c:pt>
              </c:numCache>
            </c:numRef>
          </c:val>
          <c:extLst>
            <c:ext xmlns:c16="http://schemas.microsoft.com/office/drawing/2014/chart" uri="{C3380CC4-5D6E-409C-BE32-E72D297353CC}">
              <c16:uniqueId val="{00000000-2EEB-4C6F-A0DB-3A01A0155152}"/>
            </c:ext>
          </c:extLst>
        </c:ser>
        <c:ser>
          <c:idx val="1"/>
          <c:order val="1"/>
          <c:tx>
            <c:strRef>
              <c:f>' Bezüge 1'!$AB$141</c:f>
              <c:strCache>
                <c:ptCount val="1"/>
                <c:pt idx="0">
                  <c:v> 1-10 %</c:v>
                </c:pt>
              </c:strCache>
            </c:strRef>
          </c:tx>
          <c:spPr>
            <a:solidFill>
              <a:srgbClr val="FFC000"/>
            </a:solidFill>
            <a:ln>
              <a:noFill/>
            </a:ln>
            <a:effectLst/>
          </c:spPr>
          <c:invertIfNegative val="0"/>
          <c:cat>
            <c:strRef>
              <c:f>' Bezüge 1'!$Z$142:$Z$146</c:f>
              <c:strCache>
                <c:ptCount val="5"/>
                <c:pt idx="0">
                  <c:v>Connexxion</c:v>
                </c:pt>
                <c:pt idx="1">
                  <c:v>Ferarixx </c:v>
                </c:pt>
                <c:pt idx="2">
                  <c:v>MAS 40 F</c:v>
                </c:pt>
                <c:pt idx="3">
                  <c:v>MAS 47 P</c:v>
                </c:pt>
                <c:pt idx="4">
                  <c:v>memoxx</c:v>
                </c:pt>
              </c:strCache>
            </c:strRef>
          </c:cat>
          <c:val>
            <c:numRef>
              <c:f>' Bezüge 1'!$AB$142:$AB$146</c:f>
              <c:numCache>
                <c:formatCode>General</c:formatCode>
                <c:ptCount val="5"/>
                <c:pt idx="0">
                  <c:v>25</c:v>
                </c:pt>
                <c:pt idx="1">
                  <c:v>25</c:v>
                </c:pt>
                <c:pt idx="2">
                  <c:v>28.6</c:v>
                </c:pt>
                <c:pt idx="3">
                  <c:v>26.7</c:v>
                </c:pt>
                <c:pt idx="4">
                  <c:v>33.299999999999997</c:v>
                </c:pt>
              </c:numCache>
            </c:numRef>
          </c:val>
          <c:extLst>
            <c:ext xmlns:c16="http://schemas.microsoft.com/office/drawing/2014/chart" uri="{C3380CC4-5D6E-409C-BE32-E72D297353CC}">
              <c16:uniqueId val="{00000001-2EEB-4C6F-A0DB-3A01A0155152}"/>
            </c:ext>
          </c:extLst>
        </c:ser>
        <c:ser>
          <c:idx val="2"/>
          <c:order val="2"/>
          <c:tx>
            <c:strRef>
              <c:f>' Bezüge 1'!$AC$141</c:f>
              <c:strCache>
                <c:ptCount val="1"/>
                <c:pt idx="0">
                  <c:v> 11-25 %</c:v>
                </c:pt>
              </c:strCache>
            </c:strRef>
          </c:tx>
          <c:spPr>
            <a:solidFill>
              <a:srgbClr val="F68C18"/>
            </a:solidFill>
            <a:ln>
              <a:noFill/>
            </a:ln>
            <a:effectLst/>
          </c:spPr>
          <c:invertIfNegative val="0"/>
          <c:cat>
            <c:strRef>
              <c:f>' Bezüge 1'!$Z$142:$Z$146</c:f>
              <c:strCache>
                <c:ptCount val="5"/>
                <c:pt idx="0">
                  <c:v>Connexxion</c:v>
                </c:pt>
                <c:pt idx="1">
                  <c:v>Ferarixx </c:v>
                </c:pt>
                <c:pt idx="2">
                  <c:v>MAS 40 F</c:v>
                </c:pt>
                <c:pt idx="3">
                  <c:v>MAS 47 P</c:v>
                </c:pt>
                <c:pt idx="4">
                  <c:v>memoxx</c:v>
                </c:pt>
              </c:strCache>
            </c:strRef>
          </c:cat>
          <c:val>
            <c:numRef>
              <c:f>' Bezüge 1'!$AC$142:$AC$146</c:f>
              <c:numCache>
                <c:formatCode>General</c:formatCode>
                <c:ptCount val="5"/>
                <c:pt idx="2">
                  <c:v>3.6</c:v>
                </c:pt>
                <c:pt idx="3">
                  <c:v>13.3</c:v>
                </c:pt>
              </c:numCache>
            </c:numRef>
          </c:val>
          <c:extLst>
            <c:ext xmlns:c16="http://schemas.microsoft.com/office/drawing/2014/chart" uri="{C3380CC4-5D6E-409C-BE32-E72D297353CC}">
              <c16:uniqueId val="{00000002-2EEB-4C6F-A0DB-3A01A0155152}"/>
            </c:ext>
          </c:extLst>
        </c:ser>
        <c:ser>
          <c:idx val="3"/>
          <c:order val="3"/>
          <c:tx>
            <c:strRef>
              <c:f>' Bezüge 1'!$AD$141</c:f>
              <c:strCache>
                <c:ptCount val="1"/>
                <c:pt idx="0">
                  <c:v> 26-50 %</c:v>
                </c:pt>
              </c:strCache>
            </c:strRef>
          </c:tx>
          <c:spPr>
            <a:solidFill>
              <a:srgbClr val="FF0000"/>
            </a:solidFill>
            <a:ln>
              <a:noFill/>
            </a:ln>
            <a:effectLst/>
          </c:spPr>
          <c:invertIfNegative val="0"/>
          <c:cat>
            <c:strRef>
              <c:f>' Bezüge 1'!$Z$142:$Z$146</c:f>
              <c:strCache>
                <c:ptCount val="5"/>
                <c:pt idx="0">
                  <c:v>Connexxion</c:v>
                </c:pt>
                <c:pt idx="1">
                  <c:v>Ferarixx </c:v>
                </c:pt>
                <c:pt idx="2">
                  <c:v>MAS 40 F</c:v>
                </c:pt>
                <c:pt idx="3">
                  <c:v>MAS 47 P</c:v>
                </c:pt>
                <c:pt idx="4">
                  <c:v>memoxx</c:v>
                </c:pt>
              </c:strCache>
            </c:strRef>
          </c:cat>
          <c:val>
            <c:numRef>
              <c:f>' Bezüge 1'!$AD$142:$AD$146</c:f>
              <c:numCache>
                <c:formatCode>General</c:formatCode>
                <c:ptCount val="5"/>
                <c:pt idx="4">
                  <c:v>33.299999999999997</c:v>
                </c:pt>
              </c:numCache>
            </c:numRef>
          </c:val>
          <c:extLst>
            <c:ext xmlns:c16="http://schemas.microsoft.com/office/drawing/2014/chart" uri="{C3380CC4-5D6E-409C-BE32-E72D297353CC}">
              <c16:uniqueId val="{00000003-2EEB-4C6F-A0DB-3A01A0155152}"/>
            </c:ext>
          </c:extLst>
        </c:ser>
        <c:dLbls>
          <c:showLegendKey val="0"/>
          <c:showVal val="0"/>
          <c:showCatName val="0"/>
          <c:showSerName val="0"/>
          <c:showPercent val="0"/>
          <c:showBubbleSize val="0"/>
        </c:dLbls>
        <c:gapWidth val="219"/>
        <c:overlap val="100"/>
        <c:axId val="110652416"/>
        <c:axId val="110666496"/>
      </c:barChart>
      <c:catAx>
        <c:axId val="110652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10666496"/>
        <c:crosses val="autoZero"/>
        <c:auto val="1"/>
        <c:lblAlgn val="ctr"/>
        <c:lblOffset val="100"/>
        <c:noMultiLvlLbl val="0"/>
      </c:catAx>
      <c:valAx>
        <c:axId val="110666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10652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AT"/>
              <a:t>Befall in Abhängigkeit von Pflanzenschutzmaßnahme und Vorjahresdruck</a:t>
            </a:r>
          </a:p>
        </c:rich>
      </c:tx>
      <c:overlay val="0"/>
      <c:spPr>
        <a:noFill/>
        <a:ln>
          <a:noFill/>
        </a:ln>
        <a:effectLst/>
      </c:spPr>
    </c:title>
    <c:autoTitleDeleted val="0"/>
    <c:plotArea>
      <c:layout/>
      <c:barChart>
        <c:barDir val="col"/>
        <c:grouping val="percentStacked"/>
        <c:varyColors val="0"/>
        <c:ser>
          <c:idx val="0"/>
          <c:order val="0"/>
          <c:tx>
            <c:strRef>
              <c:f>'Bezüge 2'!$C$253</c:f>
              <c:strCache>
                <c:ptCount val="1"/>
                <c:pt idx="0">
                  <c:v>kein Befall </c:v>
                </c:pt>
              </c:strCache>
            </c:strRef>
          </c:tx>
          <c:spPr>
            <a:solidFill>
              <a:schemeClr val="accent3"/>
            </a:solidFill>
            <a:ln>
              <a:noFill/>
            </a:ln>
            <a:effectLst/>
          </c:spPr>
          <c:invertIfNegative val="0"/>
          <c:cat>
            <c:multiLvlStrRef>
              <c:f>'Bezüge 2'!$A$254:$B$257</c:f>
              <c:multiLvlStrCache>
                <c:ptCount val="4"/>
                <c:lvl>
                  <c:pt idx="0">
                    <c:v>Dianem</c:v>
                  </c:pt>
                  <c:pt idx="1">
                    <c:v>keine</c:v>
                  </c:pt>
                  <c:pt idx="2">
                    <c:v>Dianem</c:v>
                  </c:pt>
                  <c:pt idx="3">
                    <c:v>keine</c:v>
                  </c:pt>
                </c:lvl>
                <c:lvl>
                  <c:pt idx="0">
                    <c:v>Druck aus dem Vorjahr gering</c:v>
                  </c:pt>
                  <c:pt idx="2">
                    <c:v>Druck aus dem Vorjahr mittel</c:v>
                  </c:pt>
                </c:lvl>
              </c:multiLvlStrCache>
            </c:multiLvlStrRef>
          </c:cat>
          <c:val>
            <c:numRef>
              <c:f>'Bezüge 2'!$C$254:$C$257</c:f>
              <c:numCache>
                <c:formatCode>General</c:formatCode>
                <c:ptCount val="4"/>
              </c:numCache>
            </c:numRef>
          </c:val>
          <c:extLst>
            <c:ext xmlns:c16="http://schemas.microsoft.com/office/drawing/2014/chart" uri="{C3380CC4-5D6E-409C-BE32-E72D297353CC}">
              <c16:uniqueId val="{00000000-ECC0-4566-BEBE-3890D4EDD289}"/>
            </c:ext>
          </c:extLst>
        </c:ser>
        <c:ser>
          <c:idx val="1"/>
          <c:order val="1"/>
          <c:tx>
            <c:strRef>
              <c:f>'Bezüge 2'!$D$253</c:f>
              <c:strCache>
                <c:ptCount val="1"/>
                <c:pt idx="0">
                  <c:v>Befall gering</c:v>
                </c:pt>
              </c:strCache>
            </c:strRef>
          </c:tx>
          <c:spPr>
            <a:solidFill>
              <a:srgbClr val="FFC000"/>
            </a:solidFill>
            <a:ln>
              <a:noFill/>
            </a:ln>
            <a:effectLst/>
          </c:spPr>
          <c:invertIfNegative val="0"/>
          <c:cat>
            <c:multiLvlStrRef>
              <c:f>'Bezüge 2'!$A$254:$B$257</c:f>
              <c:multiLvlStrCache>
                <c:ptCount val="4"/>
                <c:lvl>
                  <c:pt idx="0">
                    <c:v>Dianem</c:v>
                  </c:pt>
                  <c:pt idx="1">
                    <c:v>keine</c:v>
                  </c:pt>
                  <c:pt idx="2">
                    <c:v>Dianem</c:v>
                  </c:pt>
                  <c:pt idx="3">
                    <c:v>keine</c:v>
                  </c:pt>
                </c:lvl>
                <c:lvl>
                  <c:pt idx="0">
                    <c:v>Druck aus dem Vorjahr gering</c:v>
                  </c:pt>
                  <c:pt idx="2">
                    <c:v>Druck aus dem Vorjahr mittel</c:v>
                  </c:pt>
                </c:lvl>
              </c:multiLvlStrCache>
            </c:multiLvlStrRef>
          </c:cat>
          <c:val>
            <c:numRef>
              <c:f>'Bezüge 2'!$D$254:$D$257</c:f>
              <c:numCache>
                <c:formatCode>General</c:formatCode>
                <c:ptCount val="4"/>
                <c:pt idx="0">
                  <c:v>18</c:v>
                </c:pt>
              </c:numCache>
            </c:numRef>
          </c:val>
          <c:extLst>
            <c:ext xmlns:c16="http://schemas.microsoft.com/office/drawing/2014/chart" uri="{C3380CC4-5D6E-409C-BE32-E72D297353CC}">
              <c16:uniqueId val="{00000001-ECC0-4566-BEBE-3890D4EDD289}"/>
            </c:ext>
          </c:extLst>
        </c:ser>
        <c:ser>
          <c:idx val="2"/>
          <c:order val="2"/>
          <c:tx>
            <c:strRef>
              <c:f>'Bezüge 2'!$E$253</c:f>
              <c:strCache>
                <c:ptCount val="1"/>
                <c:pt idx="0">
                  <c:v>Befall mittel</c:v>
                </c:pt>
              </c:strCache>
            </c:strRef>
          </c:tx>
          <c:spPr>
            <a:solidFill>
              <a:srgbClr val="F79646"/>
            </a:solidFill>
            <a:ln>
              <a:noFill/>
            </a:ln>
            <a:effectLst/>
          </c:spPr>
          <c:invertIfNegative val="0"/>
          <c:cat>
            <c:multiLvlStrRef>
              <c:f>'Bezüge 2'!$A$254:$B$257</c:f>
              <c:multiLvlStrCache>
                <c:ptCount val="4"/>
                <c:lvl>
                  <c:pt idx="0">
                    <c:v>Dianem</c:v>
                  </c:pt>
                  <c:pt idx="1">
                    <c:v>keine</c:v>
                  </c:pt>
                  <c:pt idx="2">
                    <c:v>Dianem</c:v>
                  </c:pt>
                  <c:pt idx="3">
                    <c:v>keine</c:v>
                  </c:pt>
                </c:lvl>
                <c:lvl>
                  <c:pt idx="0">
                    <c:v>Druck aus dem Vorjahr gering</c:v>
                  </c:pt>
                  <c:pt idx="2">
                    <c:v>Druck aus dem Vorjahr mittel</c:v>
                  </c:pt>
                </c:lvl>
              </c:multiLvlStrCache>
            </c:multiLvlStrRef>
          </c:cat>
          <c:val>
            <c:numRef>
              <c:f>'Bezüge 2'!$E$254:$E$257</c:f>
              <c:numCache>
                <c:formatCode>General</c:formatCode>
                <c:ptCount val="4"/>
                <c:pt idx="0">
                  <c:v>3</c:v>
                </c:pt>
                <c:pt idx="1">
                  <c:v>1</c:v>
                </c:pt>
                <c:pt idx="2">
                  <c:v>43</c:v>
                </c:pt>
                <c:pt idx="3">
                  <c:v>3</c:v>
                </c:pt>
              </c:numCache>
            </c:numRef>
          </c:val>
          <c:extLst>
            <c:ext xmlns:c16="http://schemas.microsoft.com/office/drawing/2014/chart" uri="{C3380CC4-5D6E-409C-BE32-E72D297353CC}">
              <c16:uniqueId val="{00000002-ECC0-4566-BEBE-3890D4EDD289}"/>
            </c:ext>
          </c:extLst>
        </c:ser>
        <c:ser>
          <c:idx val="3"/>
          <c:order val="3"/>
          <c:tx>
            <c:strRef>
              <c:f>'Bezüge 2'!$F$253</c:f>
              <c:strCache>
                <c:ptCount val="1"/>
                <c:pt idx="0">
                  <c:v>Befall stark</c:v>
                </c:pt>
              </c:strCache>
            </c:strRef>
          </c:tx>
          <c:spPr>
            <a:solidFill>
              <a:srgbClr val="FF0000"/>
            </a:solidFill>
            <a:ln>
              <a:noFill/>
            </a:ln>
            <a:effectLst/>
          </c:spPr>
          <c:invertIfNegative val="0"/>
          <c:cat>
            <c:multiLvlStrRef>
              <c:f>'Bezüge 2'!$A$254:$B$257</c:f>
              <c:multiLvlStrCache>
                <c:ptCount val="4"/>
                <c:lvl>
                  <c:pt idx="0">
                    <c:v>Dianem</c:v>
                  </c:pt>
                  <c:pt idx="1">
                    <c:v>keine</c:v>
                  </c:pt>
                  <c:pt idx="2">
                    <c:v>Dianem</c:v>
                  </c:pt>
                  <c:pt idx="3">
                    <c:v>keine</c:v>
                  </c:pt>
                </c:lvl>
                <c:lvl>
                  <c:pt idx="0">
                    <c:v>Druck aus dem Vorjahr gering</c:v>
                  </c:pt>
                  <c:pt idx="2">
                    <c:v>Druck aus dem Vorjahr mittel</c:v>
                  </c:pt>
                </c:lvl>
              </c:multiLvlStrCache>
            </c:multiLvlStrRef>
          </c:cat>
          <c:val>
            <c:numRef>
              <c:f>'Bezüge 2'!$F$254:$F$257</c:f>
              <c:numCache>
                <c:formatCode>General</c:formatCode>
                <c:ptCount val="4"/>
                <c:pt idx="0">
                  <c:v>1</c:v>
                </c:pt>
              </c:numCache>
            </c:numRef>
          </c:val>
          <c:extLst>
            <c:ext xmlns:c16="http://schemas.microsoft.com/office/drawing/2014/chart" uri="{C3380CC4-5D6E-409C-BE32-E72D297353CC}">
              <c16:uniqueId val="{00000003-ECC0-4566-BEBE-3890D4EDD289}"/>
            </c:ext>
          </c:extLst>
        </c:ser>
        <c:dLbls>
          <c:showLegendKey val="0"/>
          <c:showVal val="0"/>
          <c:showCatName val="0"/>
          <c:showSerName val="0"/>
          <c:showPercent val="0"/>
          <c:showBubbleSize val="0"/>
        </c:dLbls>
        <c:gapWidth val="150"/>
        <c:overlap val="100"/>
        <c:axId val="110703360"/>
        <c:axId val="110704896"/>
      </c:barChart>
      <c:catAx>
        <c:axId val="110703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10704896"/>
        <c:crosses val="autoZero"/>
        <c:auto val="1"/>
        <c:lblAlgn val="ctr"/>
        <c:lblOffset val="100"/>
        <c:noMultiLvlLbl val="0"/>
      </c:catAx>
      <c:valAx>
        <c:axId val="1107048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10703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AT" sz="1400" b="0" i="0" baseline="0">
                <a:effectLst/>
              </a:rPr>
              <a:t>Befallsgrad der Kultur durch </a:t>
            </a:r>
            <a:r>
              <a:rPr lang="de-AT" sz="1400" b="0" i="1" baseline="0">
                <a:effectLst/>
              </a:rPr>
              <a:t>D. virgifera </a:t>
            </a:r>
            <a:r>
              <a:rPr lang="de-AT" sz="1400" b="0" i="0" baseline="0">
                <a:effectLst/>
              </a:rPr>
              <a:t>in Abhängigkeit von Maisanbau im Vorjahr und Pflanzenschutzmaßnahme </a:t>
            </a:r>
            <a:endParaRPr lang="de-AT" sz="1400">
              <a:effectLst/>
            </a:endParaRPr>
          </a:p>
        </c:rich>
      </c:tx>
      <c:overlay val="0"/>
      <c:spPr>
        <a:noFill/>
        <a:ln>
          <a:noFill/>
        </a:ln>
        <a:effectLst/>
      </c:spPr>
    </c:title>
    <c:autoTitleDeleted val="0"/>
    <c:plotArea>
      <c:layout/>
      <c:barChart>
        <c:barDir val="col"/>
        <c:grouping val="percentStacked"/>
        <c:varyColors val="0"/>
        <c:ser>
          <c:idx val="0"/>
          <c:order val="0"/>
          <c:tx>
            <c:strRef>
              <c:f>'Bezüge 2'!$C$22</c:f>
              <c:strCache>
                <c:ptCount val="1"/>
                <c:pt idx="0">
                  <c:v>kein Befall</c:v>
                </c:pt>
              </c:strCache>
            </c:strRef>
          </c:tx>
          <c:spPr>
            <a:solidFill>
              <a:schemeClr val="accent3"/>
            </a:solidFill>
            <a:ln>
              <a:noFill/>
            </a:ln>
            <a:effectLst/>
          </c:spPr>
          <c:invertIfNegative val="0"/>
          <c:cat>
            <c:multiLvlStrRef>
              <c:f>'Bezüge 2'!$A$23:$B$28</c:f>
              <c:multiLvlStrCache>
                <c:ptCount val="6"/>
                <c:lvl>
                  <c:pt idx="0">
                    <c:v>Dianem</c:v>
                  </c:pt>
                  <c:pt idx="1">
                    <c:v>Dianem + Neonicotinoid</c:v>
                  </c:pt>
                  <c:pt idx="2">
                    <c:v>keine</c:v>
                  </c:pt>
                  <c:pt idx="3">
                    <c:v>Dianem</c:v>
                  </c:pt>
                  <c:pt idx="4">
                    <c:v>Dianem + Neonicotinoid</c:v>
                  </c:pt>
                  <c:pt idx="5">
                    <c:v>keine</c:v>
                  </c:pt>
                </c:lvl>
                <c:lvl>
                  <c:pt idx="0">
                    <c:v>Vorjahreskultur Mais</c:v>
                  </c:pt>
                  <c:pt idx="3">
                    <c:v>Vorjahreskultur kein Mais</c:v>
                  </c:pt>
                </c:lvl>
              </c:multiLvlStrCache>
            </c:multiLvlStrRef>
          </c:cat>
          <c:val>
            <c:numRef>
              <c:f>'Bezüge 2'!$C$23:$C$28</c:f>
              <c:numCache>
                <c:formatCode>General</c:formatCode>
                <c:ptCount val="6"/>
              </c:numCache>
            </c:numRef>
          </c:val>
          <c:extLst>
            <c:ext xmlns:c16="http://schemas.microsoft.com/office/drawing/2014/chart" uri="{C3380CC4-5D6E-409C-BE32-E72D297353CC}">
              <c16:uniqueId val="{00000000-0FC3-4B1D-90D0-05DD95DA4A49}"/>
            </c:ext>
          </c:extLst>
        </c:ser>
        <c:ser>
          <c:idx val="1"/>
          <c:order val="1"/>
          <c:tx>
            <c:strRef>
              <c:f>'Bezüge 2'!$D$22</c:f>
              <c:strCache>
                <c:ptCount val="1"/>
                <c:pt idx="0">
                  <c:v>Befall leicht</c:v>
                </c:pt>
              </c:strCache>
            </c:strRef>
          </c:tx>
          <c:spPr>
            <a:solidFill>
              <a:srgbClr val="FFC000"/>
            </a:solidFill>
            <a:ln>
              <a:noFill/>
            </a:ln>
            <a:effectLst/>
          </c:spPr>
          <c:invertIfNegative val="0"/>
          <c:cat>
            <c:multiLvlStrRef>
              <c:f>'Bezüge 2'!$A$23:$B$28</c:f>
              <c:multiLvlStrCache>
                <c:ptCount val="6"/>
                <c:lvl>
                  <c:pt idx="0">
                    <c:v>Dianem</c:v>
                  </c:pt>
                  <c:pt idx="1">
                    <c:v>Dianem + Neonicotinoid</c:v>
                  </c:pt>
                  <c:pt idx="2">
                    <c:v>keine</c:v>
                  </c:pt>
                  <c:pt idx="3">
                    <c:v>Dianem</c:v>
                  </c:pt>
                  <c:pt idx="4">
                    <c:v>Dianem + Neonicotinoid</c:v>
                  </c:pt>
                  <c:pt idx="5">
                    <c:v>keine</c:v>
                  </c:pt>
                </c:lvl>
                <c:lvl>
                  <c:pt idx="0">
                    <c:v>Vorjahreskultur Mais</c:v>
                  </c:pt>
                  <c:pt idx="3">
                    <c:v>Vorjahreskultur kein Mais</c:v>
                  </c:pt>
                </c:lvl>
              </c:multiLvlStrCache>
            </c:multiLvlStrRef>
          </c:cat>
          <c:val>
            <c:numRef>
              <c:f>'Bezüge 2'!$D$23:$D$28</c:f>
              <c:numCache>
                <c:formatCode>General</c:formatCode>
                <c:ptCount val="6"/>
                <c:pt idx="0">
                  <c:v>2</c:v>
                </c:pt>
                <c:pt idx="3">
                  <c:v>15</c:v>
                </c:pt>
                <c:pt idx="5">
                  <c:v>3</c:v>
                </c:pt>
              </c:numCache>
            </c:numRef>
          </c:val>
          <c:extLst>
            <c:ext xmlns:c16="http://schemas.microsoft.com/office/drawing/2014/chart" uri="{C3380CC4-5D6E-409C-BE32-E72D297353CC}">
              <c16:uniqueId val="{00000001-0FC3-4B1D-90D0-05DD95DA4A49}"/>
            </c:ext>
          </c:extLst>
        </c:ser>
        <c:ser>
          <c:idx val="2"/>
          <c:order val="2"/>
          <c:tx>
            <c:strRef>
              <c:f>'Bezüge 2'!$E$22</c:f>
              <c:strCache>
                <c:ptCount val="1"/>
                <c:pt idx="0">
                  <c:v>Befall mittel</c:v>
                </c:pt>
              </c:strCache>
            </c:strRef>
          </c:tx>
          <c:spPr>
            <a:solidFill>
              <a:srgbClr val="F68C18"/>
            </a:solidFill>
            <a:ln>
              <a:noFill/>
            </a:ln>
            <a:effectLst/>
          </c:spPr>
          <c:invertIfNegative val="0"/>
          <c:cat>
            <c:multiLvlStrRef>
              <c:f>'Bezüge 2'!$A$23:$B$28</c:f>
              <c:multiLvlStrCache>
                <c:ptCount val="6"/>
                <c:lvl>
                  <c:pt idx="0">
                    <c:v>Dianem</c:v>
                  </c:pt>
                  <c:pt idx="1">
                    <c:v>Dianem + Neonicotinoid</c:v>
                  </c:pt>
                  <c:pt idx="2">
                    <c:v>keine</c:v>
                  </c:pt>
                  <c:pt idx="3">
                    <c:v>Dianem</c:v>
                  </c:pt>
                  <c:pt idx="4">
                    <c:v>Dianem + Neonicotinoid</c:v>
                  </c:pt>
                  <c:pt idx="5">
                    <c:v>keine</c:v>
                  </c:pt>
                </c:lvl>
                <c:lvl>
                  <c:pt idx="0">
                    <c:v>Vorjahreskultur Mais</c:v>
                  </c:pt>
                  <c:pt idx="3">
                    <c:v>Vorjahreskultur kein Mais</c:v>
                  </c:pt>
                </c:lvl>
              </c:multiLvlStrCache>
            </c:multiLvlStrRef>
          </c:cat>
          <c:val>
            <c:numRef>
              <c:f>'Bezüge 2'!$E$23:$E$28</c:f>
              <c:numCache>
                <c:formatCode>General</c:formatCode>
                <c:ptCount val="6"/>
                <c:pt idx="0">
                  <c:v>26</c:v>
                </c:pt>
                <c:pt idx="1">
                  <c:v>4</c:v>
                </c:pt>
                <c:pt idx="2">
                  <c:v>1</c:v>
                </c:pt>
                <c:pt idx="3">
                  <c:v>9</c:v>
                </c:pt>
                <c:pt idx="4">
                  <c:v>3</c:v>
                </c:pt>
                <c:pt idx="5">
                  <c:v>1</c:v>
                </c:pt>
              </c:numCache>
            </c:numRef>
          </c:val>
          <c:extLst>
            <c:ext xmlns:c16="http://schemas.microsoft.com/office/drawing/2014/chart" uri="{C3380CC4-5D6E-409C-BE32-E72D297353CC}">
              <c16:uniqueId val="{00000002-0FC3-4B1D-90D0-05DD95DA4A49}"/>
            </c:ext>
          </c:extLst>
        </c:ser>
        <c:ser>
          <c:idx val="3"/>
          <c:order val="3"/>
          <c:tx>
            <c:strRef>
              <c:f>'Bezüge 2'!$F$22</c:f>
              <c:strCache>
                <c:ptCount val="1"/>
                <c:pt idx="0">
                  <c:v>Befall stark</c:v>
                </c:pt>
              </c:strCache>
            </c:strRef>
          </c:tx>
          <c:spPr>
            <a:solidFill>
              <a:srgbClr val="FF0000"/>
            </a:solidFill>
            <a:ln>
              <a:noFill/>
            </a:ln>
            <a:effectLst/>
          </c:spPr>
          <c:invertIfNegative val="0"/>
          <c:cat>
            <c:multiLvlStrRef>
              <c:f>'Bezüge 2'!$A$23:$B$28</c:f>
              <c:multiLvlStrCache>
                <c:ptCount val="6"/>
                <c:lvl>
                  <c:pt idx="0">
                    <c:v>Dianem</c:v>
                  </c:pt>
                  <c:pt idx="1">
                    <c:v>Dianem + Neonicotinoid</c:v>
                  </c:pt>
                  <c:pt idx="2">
                    <c:v>keine</c:v>
                  </c:pt>
                  <c:pt idx="3">
                    <c:v>Dianem</c:v>
                  </c:pt>
                  <c:pt idx="4">
                    <c:v>Dianem + Neonicotinoid</c:v>
                  </c:pt>
                  <c:pt idx="5">
                    <c:v>keine</c:v>
                  </c:pt>
                </c:lvl>
                <c:lvl>
                  <c:pt idx="0">
                    <c:v>Vorjahreskultur Mais</c:v>
                  </c:pt>
                  <c:pt idx="3">
                    <c:v>Vorjahreskultur kein Mais</c:v>
                  </c:pt>
                </c:lvl>
              </c:multiLvlStrCache>
            </c:multiLvlStrRef>
          </c:cat>
          <c:val>
            <c:numRef>
              <c:f>'Bezüge 2'!$F$23:$F$28</c:f>
              <c:numCache>
                <c:formatCode>General</c:formatCode>
                <c:ptCount val="6"/>
                <c:pt idx="0">
                  <c:v>3</c:v>
                </c:pt>
                <c:pt idx="1">
                  <c:v>1</c:v>
                </c:pt>
                <c:pt idx="3">
                  <c:v>2</c:v>
                </c:pt>
              </c:numCache>
            </c:numRef>
          </c:val>
          <c:extLst>
            <c:ext xmlns:c16="http://schemas.microsoft.com/office/drawing/2014/chart" uri="{C3380CC4-5D6E-409C-BE32-E72D297353CC}">
              <c16:uniqueId val="{00000003-0FC3-4B1D-90D0-05DD95DA4A49}"/>
            </c:ext>
          </c:extLst>
        </c:ser>
        <c:dLbls>
          <c:showLegendKey val="0"/>
          <c:showVal val="0"/>
          <c:showCatName val="0"/>
          <c:showSerName val="0"/>
          <c:showPercent val="0"/>
          <c:showBubbleSize val="0"/>
        </c:dLbls>
        <c:gapWidth val="150"/>
        <c:overlap val="100"/>
        <c:axId val="110770432"/>
        <c:axId val="110776320"/>
      </c:barChart>
      <c:catAx>
        <c:axId val="110770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10776320"/>
        <c:crosses val="autoZero"/>
        <c:auto val="1"/>
        <c:lblAlgn val="ctr"/>
        <c:lblOffset val="100"/>
        <c:noMultiLvlLbl val="0"/>
      </c:catAx>
      <c:valAx>
        <c:axId val="1107763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10770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de-AT" sz="1400" b="0" i="0" baseline="0">
                <a:effectLst/>
              </a:rPr>
              <a:t>Lagerung des Maises in Abhängigkeit von Maisanbau im Vorjahr und Pflanzenschutzmaßnahme</a:t>
            </a:r>
            <a:endParaRPr lang="de-AT" sz="1400">
              <a:effectLst/>
            </a:endParaRPr>
          </a:p>
        </c:rich>
      </c:tx>
      <c:overlay val="0"/>
      <c:spPr>
        <a:noFill/>
        <a:ln>
          <a:noFill/>
        </a:ln>
        <a:effectLst/>
      </c:spPr>
    </c:title>
    <c:autoTitleDeleted val="0"/>
    <c:plotArea>
      <c:layout/>
      <c:barChart>
        <c:barDir val="col"/>
        <c:grouping val="percentStacked"/>
        <c:varyColors val="0"/>
        <c:ser>
          <c:idx val="0"/>
          <c:order val="0"/>
          <c:tx>
            <c:strRef>
              <c:f>'Bezüge 2'!$D$61</c:f>
              <c:strCache>
                <c:ptCount val="1"/>
                <c:pt idx="0">
                  <c:v>0% Lagerung</c:v>
                </c:pt>
              </c:strCache>
            </c:strRef>
          </c:tx>
          <c:spPr>
            <a:solidFill>
              <a:schemeClr val="accent3"/>
            </a:solidFill>
            <a:ln>
              <a:noFill/>
            </a:ln>
            <a:effectLst/>
          </c:spPr>
          <c:invertIfNegative val="0"/>
          <c:cat>
            <c:multiLvlStrRef>
              <c:f>'Bezüge 2'!$A$62:$C$67</c:f>
              <c:multiLvlStrCache>
                <c:ptCount val="6"/>
                <c:lvl>
                  <c:pt idx="0">
                    <c:v>Dianem</c:v>
                  </c:pt>
                  <c:pt idx="1">
                    <c:v>Dianem + Neonicotinoid</c:v>
                  </c:pt>
                  <c:pt idx="2">
                    <c:v>keine</c:v>
                  </c:pt>
                  <c:pt idx="3">
                    <c:v>Dianem</c:v>
                  </c:pt>
                  <c:pt idx="4">
                    <c:v>Dianem + Neonicotinoid</c:v>
                  </c:pt>
                  <c:pt idx="5">
                    <c:v>keine</c:v>
                  </c:pt>
                </c:lvl>
                <c:lvl>
                  <c:pt idx="0">
                    <c:v>Vorjahreskultur Mais</c:v>
                  </c:pt>
                  <c:pt idx="3">
                    <c:v>Vorjahreskultur kein Mais</c:v>
                  </c:pt>
                </c:lvl>
              </c:multiLvlStrCache>
            </c:multiLvlStrRef>
          </c:cat>
          <c:val>
            <c:numRef>
              <c:f>'Bezüge 2'!$D$62:$D$67</c:f>
              <c:numCache>
                <c:formatCode>General</c:formatCode>
                <c:ptCount val="6"/>
                <c:pt idx="0">
                  <c:v>17</c:v>
                </c:pt>
                <c:pt idx="1">
                  <c:v>2</c:v>
                </c:pt>
                <c:pt idx="2">
                  <c:v>1</c:v>
                </c:pt>
                <c:pt idx="3">
                  <c:v>20</c:v>
                </c:pt>
                <c:pt idx="4">
                  <c:v>3</c:v>
                </c:pt>
                <c:pt idx="5">
                  <c:v>1</c:v>
                </c:pt>
              </c:numCache>
            </c:numRef>
          </c:val>
          <c:extLst>
            <c:ext xmlns:c16="http://schemas.microsoft.com/office/drawing/2014/chart" uri="{C3380CC4-5D6E-409C-BE32-E72D297353CC}">
              <c16:uniqueId val="{00000000-70AE-4199-A8FD-FB07A02194B3}"/>
            </c:ext>
          </c:extLst>
        </c:ser>
        <c:ser>
          <c:idx val="1"/>
          <c:order val="1"/>
          <c:tx>
            <c:strRef>
              <c:f>'Bezüge 2'!$E$61</c:f>
              <c:strCache>
                <c:ptCount val="1"/>
                <c:pt idx="0">
                  <c:v> 1-10 % Lagerung</c:v>
                </c:pt>
              </c:strCache>
            </c:strRef>
          </c:tx>
          <c:spPr>
            <a:solidFill>
              <a:srgbClr val="FFC000"/>
            </a:solidFill>
            <a:ln>
              <a:noFill/>
            </a:ln>
            <a:effectLst/>
          </c:spPr>
          <c:invertIfNegative val="0"/>
          <c:cat>
            <c:multiLvlStrRef>
              <c:f>'Bezüge 2'!$A$62:$C$67</c:f>
              <c:multiLvlStrCache>
                <c:ptCount val="6"/>
                <c:lvl>
                  <c:pt idx="0">
                    <c:v>Dianem</c:v>
                  </c:pt>
                  <c:pt idx="1">
                    <c:v>Dianem + Neonicotinoid</c:v>
                  </c:pt>
                  <c:pt idx="2">
                    <c:v>keine</c:v>
                  </c:pt>
                  <c:pt idx="3">
                    <c:v>Dianem</c:v>
                  </c:pt>
                  <c:pt idx="4">
                    <c:v>Dianem + Neonicotinoid</c:v>
                  </c:pt>
                  <c:pt idx="5">
                    <c:v>keine</c:v>
                  </c:pt>
                </c:lvl>
                <c:lvl>
                  <c:pt idx="0">
                    <c:v>Vorjahreskultur Mais</c:v>
                  </c:pt>
                  <c:pt idx="3">
                    <c:v>Vorjahreskultur kein Mais</c:v>
                  </c:pt>
                </c:lvl>
              </c:multiLvlStrCache>
            </c:multiLvlStrRef>
          </c:cat>
          <c:val>
            <c:numRef>
              <c:f>'Bezüge 2'!$E$62:$E$67</c:f>
              <c:numCache>
                <c:formatCode>General</c:formatCode>
                <c:ptCount val="6"/>
                <c:pt idx="0">
                  <c:v>11</c:v>
                </c:pt>
                <c:pt idx="1">
                  <c:v>1</c:v>
                </c:pt>
                <c:pt idx="3">
                  <c:v>5</c:v>
                </c:pt>
                <c:pt idx="5">
                  <c:v>2</c:v>
                </c:pt>
              </c:numCache>
            </c:numRef>
          </c:val>
          <c:extLst>
            <c:ext xmlns:c16="http://schemas.microsoft.com/office/drawing/2014/chart" uri="{C3380CC4-5D6E-409C-BE32-E72D297353CC}">
              <c16:uniqueId val="{00000001-70AE-4199-A8FD-FB07A02194B3}"/>
            </c:ext>
          </c:extLst>
        </c:ser>
        <c:ser>
          <c:idx val="2"/>
          <c:order val="2"/>
          <c:tx>
            <c:strRef>
              <c:f>'Bezüge 2'!$F$61</c:f>
              <c:strCache>
                <c:ptCount val="1"/>
                <c:pt idx="0">
                  <c:v> 11-25 % Lagerung</c:v>
                </c:pt>
              </c:strCache>
            </c:strRef>
          </c:tx>
          <c:spPr>
            <a:solidFill>
              <a:srgbClr val="F68C18"/>
            </a:solidFill>
            <a:ln>
              <a:noFill/>
            </a:ln>
            <a:effectLst/>
          </c:spPr>
          <c:invertIfNegative val="0"/>
          <c:cat>
            <c:multiLvlStrRef>
              <c:f>'Bezüge 2'!$A$62:$C$67</c:f>
              <c:multiLvlStrCache>
                <c:ptCount val="6"/>
                <c:lvl>
                  <c:pt idx="0">
                    <c:v>Dianem</c:v>
                  </c:pt>
                  <c:pt idx="1">
                    <c:v>Dianem + Neonicotinoid</c:v>
                  </c:pt>
                  <c:pt idx="2">
                    <c:v>keine</c:v>
                  </c:pt>
                  <c:pt idx="3">
                    <c:v>Dianem</c:v>
                  </c:pt>
                  <c:pt idx="4">
                    <c:v>Dianem + Neonicotinoid</c:v>
                  </c:pt>
                  <c:pt idx="5">
                    <c:v>keine</c:v>
                  </c:pt>
                </c:lvl>
                <c:lvl>
                  <c:pt idx="0">
                    <c:v>Vorjahreskultur Mais</c:v>
                  </c:pt>
                  <c:pt idx="3">
                    <c:v>Vorjahreskultur kein Mais</c:v>
                  </c:pt>
                </c:lvl>
              </c:multiLvlStrCache>
            </c:multiLvlStrRef>
          </c:cat>
          <c:val>
            <c:numRef>
              <c:f>'Bezüge 2'!$F$62:$F$67</c:f>
              <c:numCache>
                <c:formatCode>General</c:formatCode>
                <c:ptCount val="6"/>
                <c:pt idx="5">
                  <c:v>1</c:v>
                </c:pt>
              </c:numCache>
            </c:numRef>
          </c:val>
          <c:extLst>
            <c:ext xmlns:c16="http://schemas.microsoft.com/office/drawing/2014/chart" uri="{C3380CC4-5D6E-409C-BE32-E72D297353CC}">
              <c16:uniqueId val="{00000002-70AE-4199-A8FD-FB07A02194B3}"/>
            </c:ext>
          </c:extLst>
        </c:ser>
        <c:ser>
          <c:idx val="3"/>
          <c:order val="3"/>
          <c:tx>
            <c:strRef>
              <c:f>'Bezüge 2'!$G$61</c:f>
              <c:strCache>
                <c:ptCount val="1"/>
                <c:pt idx="0">
                  <c:v> 26-50 % Lagerung</c:v>
                </c:pt>
              </c:strCache>
            </c:strRef>
          </c:tx>
          <c:spPr>
            <a:solidFill>
              <a:srgbClr val="FF0000"/>
            </a:solidFill>
            <a:ln>
              <a:noFill/>
            </a:ln>
            <a:effectLst/>
          </c:spPr>
          <c:invertIfNegative val="0"/>
          <c:cat>
            <c:multiLvlStrRef>
              <c:f>'Bezüge 2'!$A$62:$C$67</c:f>
              <c:multiLvlStrCache>
                <c:ptCount val="6"/>
                <c:lvl>
                  <c:pt idx="0">
                    <c:v>Dianem</c:v>
                  </c:pt>
                  <c:pt idx="1">
                    <c:v>Dianem + Neonicotinoid</c:v>
                  </c:pt>
                  <c:pt idx="2">
                    <c:v>keine</c:v>
                  </c:pt>
                  <c:pt idx="3">
                    <c:v>Dianem</c:v>
                  </c:pt>
                  <c:pt idx="4">
                    <c:v>Dianem + Neonicotinoid</c:v>
                  </c:pt>
                  <c:pt idx="5">
                    <c:v>keine</c:v>
                  </c:pt>
                </c:lvl>
                <c:lvl>
                  <c:pt idx="0">
                    <c:v>Vorjahreskultur Mais</c:v>
                  </c:pt>
                  <c:pt idx="3">
                    <c:v>Vorjahreskultur kein Mais</c:v>
                  </c:pt>
                </c:lvl>
              </c:multiLvlStrCache>
            </c:multiLvlStrRef>
          </c:cat>
          <c:val>
            <c:numRef>
              <c:f>'Bezüge 2'!$G$62:$G$67</c:f>
              <c:numCache>
                <c:formatCode>General</c:formatCode>
                <c:ptCount val="6"/>
                <c:pt idx="0">
                  <c:v>3</c:v>
                </c:pt>
                <c:pt idx="1">
                  <c:v>1</c:v>
                </c:pt>
              </c:numCache>
            </c:numRef>
          </c:val>
          <c:extLst>
            <c:ext xmlns:c16="http://schemas.microsoft.com/office/drawing/2014/chart" uri="{C3380CC4-5D6E-409C-BE32-E72D297353CC}">
              <c16:uniqueId val="{00000003-70AE-4199-A8FD-FB07A02194B3}"/>
            </c:ext>
          </c:extLst>
        </c:ser>
        <c:dLbls>
          <c:showLegendKey val="0"/>
          <c:showVal val="0"/>
          <c:showCatName val="0"/>
          <c:showSerName val="0"/>
          <c:showPercent val="0"/>
          <c:showBubbleSize val="0"/>
        </c:dLbls>
        <c:gapWidth val="150"/>
        <c:overlap val="100"/>
        <c:axId val="110927872"/>
        <c:axId val="110929408"/>
      </c:barChart>
      <c:catAx>
        <c:axId val="110927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10929408"/>
        <c:crosses val="autoZero"/>
        <c:auto val="1"/>
        <c:lblAlgn val="ctr"/>
        <c:lblOffset val="100"/>
        <c:noMultiLvlLbl val="0"/>
      </c:catAx>
      <c:valAx>
        <c:axId val="1109294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10927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de-AT" sz="1400" b="0" i="0" baseline="0">
                <a:effectLst/>
              </a:rPr>
              <a:t>Lagerung des Maises in Abhängigkeit des Vorjahresdruckes und der Pflanzenschutzmaßnahme</a:t>
            </a:r>
            <a:endParaRPr lang="de-AT" sz="1400">
              <a:effectLst/>
            </a:endParaRPr>
          </a:p>
        </c:rich>
      </c:tx>
      <c:overlay val="0"/>
      <c:spPr>
        <a:noFill/>
        <a:ln>
          <a:noFill/>
        </a:ln>
        <a:effectLst/>
      </c:spPr>
    </c:title>
    <c:autoTitleDeleted val="0"/>
    <c:plotArea>
      <c:layout/>
      <c:barChart>
        <c:barDir val="col"/>
        <c:grouping val="percentStacked"/>
        <c:varyColors val="0"/>
        <c:ser>
          <c:idx val="0"/>
          <c:order val="0"/>
          <c:tx>
            <c:strRef>
              <c:f>'Bezüge 2'!$C$269</c:f>
              <c:strCache>
                <c:ptCount val="1"/>
                <c:pt idx="0">
                  <c:v>0% Lagerung</c:v>
                </c:pt>
              </c:strCache>
            </c:strRef>
          </c:tx>
          <c:spPr>
            <a:solidFill>
              <a:schemeClr val="accent3"/>
            </a:solidFill>
            <a:ln>
              <a:noFill/>
            </a:ln>
            <a:effectLst/>
          </c:spPr>
          <c:invertIfNegative val="0"/>
          <c:cat>
            <c:multiLvlStrRef>
              <c:f>'Bezüge 2'!$A$270:$B$275</c:f>
              <c:multiLvlStrCache>
                <c:ptCount val="6"/>
                <c:lvl>
                  <c:pt idx="0">
                    <c:v>Druck leicht</c:v>
                  </c:pt>
                  <c:pt idx="1">
                    <c:v>Druck mittel</c:v>
                  </c:pt>
                  <c:pt idx="2">
                    <c:v>Druck stark</c:v>
                  </c:pt>
                  <c:pt idx="3">
                    <c:v>Druck leicht</c:v>
                  </c:pt>
                  <c:pt idx="4">
                    <c:v>Druck mittel</c:v>
                  </c:pt>
                  <c:pt idx="5">
                    <c:v>Druck stark</c:v>
                  </c:pt>
                </c:lvl>
                <c:lvl>
                  <c:pt idx="0">
                    <c:v>Dianem</c:v>
                  </c:pt>
                  <c:pt idx="3">
                    <c:v>Dianem + Insektizid</c:v>
                  </c:pt>
                </c:lvl>
              </c:multiLvlStrCache>
            </c:multiLvlStrRef>
          </c:cat>
          <c:val>
            <c:numRef>
              <c:f>'Bezüge 2'!$C$270:$C$275</c:f>
              <c:numCache>
                <c:formatCode>General</c:formatCode>
                <c:ptCount val="6"/>
                <c:pt idx="0">
                  <c:v>17</c:v>
                </c:pt>
                <c:pt idx="1">
                  <c:v>20</c:v>
                </c:pt>
                <c:pt idx="2">
                  <c:v>2</c:v>
                </c:pt>
                <c:pt idx="3">
                  <c:v>1</c:v>
                </c:pt>
                <c:pt idx="4">
                  <c:v>5</c:v>
                </c:pt>
              </c:numCache>
            </c:numRef>
          </c:val>
          <c:extLst>
            <c:ext xmlns:c16="http://schemas.microsoft.com/office/drawing/2014/chart" uri="{C3380CC4-5D6E-409C-BE32-E72D297353CC}">
              <c16:uniqueId val="{00000000-4E0F-4892-B767-E04F651F2FB1}"/>
            </c:ext>
          </c:extLst>
        </c:ser>
        <c:ser>
          <c:idx val="1"/>
          <c:order val="1"/>
          <c:tx>
            <c:strRef>
              <c:f>'Bezüge 2'!$D$269</c:f>
              <c:strCache>
                <c:ptCount val="1"/>
                <c:pt idx="0">
                  <c:v> 1-10 % Lagerung</c:v>
                </c:pt>
              </c:strCache>
            </c:strRef>
          </c:tx>
          <c:spPr>
            <a:solidFill>
              <a:srgbClr val="FFC000"/>
            </a:solidFill>
            <a:ln>
              <a:noFill/>
            </a:ln>
            <a:effectLst/>
          </c:spPr>
          <c:invertIfNegative val="0"/>
          <c:cat>
            <c:multiLvlStrRef>
              <c:f>'Bezüge 2'!$A$270:$B$275</c:f>
              <c:multiLvlStrCache>
                <c:ptCount val="6"/>
                <c:lvl>
                  <c:pt idx="0">
                    <c:v>Druck leicht</c:v>
                  </c:pt>
                  <c:pt idx="1">
                    <c:v>Druck mittel</c:v>
                  </c:pt>
                  <c:pt idx="2">
                    <c:v>Druck stark</c:v>
                  </c:pt>
                  <c:pt idx="3">
                    <c:v>Druck leicht</c:v>
                  </c:pt>
                  <c:pt idx="4">
                    <c:v>Druck mittel</c:v>
                  </c:pt>
                  <c:pt idx="5">
                    <c:v>Druck stark</c:v>
                  </c:pt>
                </c:lvl>
                <c:lvl>
                  <c:pt idx="0">
                    <c:v>Dianem</c:v>
                  </c:pt>
                  <c:pt idx="3">
                    <c:v>Dianem + Insektizid</c:v>
                  </c:pt>
                </c:lvl>
              </c:multiLvlStrCache>
            </c:multiLvlStrRef>
          </c:cat>
          <c:val>
            <c:numRef>
              <c:f>'Bezüge 2'!$D$270:$D$275</c:f>
              <c:numCache>
                <c:formatCode>General</c:formatCode>
                <c:ptCount val="6"/>
                <c:pt idx="0">
                  <c:v>2</c:v>
                </c:pt>
                <c:pt idx="1">
                  <c:v>11</c:v>
                </c:pt>
                <c:pt idx="2">
                  <c:v>4</c:v>
                </c:pt>
                <c:pt idx="4">
                  <c:v>1</c:v>
                </c:pt>
              </c:numCache>
            </c:numRef>
          </c:val>
          <c:extLst>
            <c:ext xmlns:c16="http://schemas.microsoft.com/office/drawing/2014/chart" uri="{C3380CC4-5D6E-409C-BE32-E72D297353CC}">
              <c16:uniqueId val="{00000001-4E0F-4892-B767-E04F651F2FB1}"/>
            </c:ext>
          </c:extLst>
        </c:ser>
        <c:ser>
          <c:idx val="2"/>
          <c:order val="2"/>
          <c:tx>
            <c:strRef>
              <c:f>'Bezüge 2'!$E$269</c:f>
              <c:strCache>
                <c:ptCount val="1"/>
                <c:pt idx="0">
                  <c:v> 11-25 % Lagerung</c:v>
                </c:pt>
              </c:strCache>
            </c:strRef>
          </c:tx>
          <c:spPr>
            <a:solidFill>
              <a:srgbClr val="F79646"/>
            </a:solidFill>
            <a:ln>
              <a:noFill/>
            </a:ln>
            <a:effectLst/>
          </c:spPr>
          <c:invertIfNegative val="0"/>
          <c:cat>
            <c:multiLvlStrRef>
              <c:f>'Bezüge 2'!$A$270:$B$275</c:f>
              <c:multiLvlStrCache>
                <c:ptCount val="6"/>
                <c:lvl>
                  <c:pt idx="0">
                    <c:v>Druck leicht</c:v>
                  </c:pt>
                  <c:pt idx="1">
                    <c:v>Druck mittel</c:v>
                  </c:pt>
                  <c:pt idx="2">
                    <c:v>Druck stark</c:v>
                  </c:pt>
                  <c:pt idx="3">
                    <c:v>Druck leicht</c:v>
                  </c:pt>
                  <c:pt idx="4">
                    <c:v>Druck mittel</c:v>
                  </c:pt>
                  <c:pt idx="5">
                    <c:v>Druck stark</c:v>
                  </c:pt>
                </c:lvl>
                <c:lvl>
                  <c:pt idx="0">
                    <c:v>Dianem</c:v>
                  </c:pt>
                  <c:pt idx="3">
                    <c:v>Dianem + Insektizid</c:v>
                  </c:pt>
                </c:lvl>
              </c:multiLvlStrCache>
            </c:multiLvlStrRef>
          </c:cat>
          <c:val>
            <c:numRef>
              <c:f>'Bezüge 2'!$E$270:$E$275</c:f>
              <c:numCache>
                <c:formatCode>General</c:formatCode>
                <c:ptCount val="6"/>
                <c:pt idx="4">
                  <c:v>1</c:v>
                </c:pt>
              </c:numCache>
            </c:numRef>
          </c:val>
          <c:extLst>
            <c:ext xmlns:c16="http://schemas.microsoft.com/office/drawing/2014/chart" uri="{C3380CC4-5D6E-409C-BE32-E72D297353CC}">
              <c16:uniqueId val="{00000002-4E0F-4892-B767-E04F651F2FB1}"/>
            </c:ext>
          </c:extLst>
        </c:ser>
        <c:ser>
          <c:idx val="3"/>
          <c:order val="3"/>
          <c:tx>
            <c:strRef>
              <c:f>'Bezüge 2'!$F$269</c:f>
              <c:strCache>
                <c:ptCount val="1"/>
                <c:pt idx="0">
                  <c:v> 26-50 % Lagerung</c:v>
                </c:pt>
              </c:strCache>
            </c:strRef>
          </c:tx>
          <c:spPr>
            <a:solidFill>
              <a:srgbClr val="FF0000"/>
            </a:solidFill>
            <a:ln>
              <a:noFill/>
            </a:ln>
            <a:effectLst/>
          </c:spPr>
          <c:invertIfNegative val="0"/>
          <c:cat>
            <c:multiLvlStrRef>
              <c:f>'Bezüge 2'!$A$270:$B$275</c:f>
              <c:multiLvlStrCache>
                <c:ptCount val="6"/>
                <c:lvl>
                  <c:pt idx="0">
                    <c:v>Druck leicht</c:v>
                  </c:pt>
                  <c:pt idx="1">
                    <c:v>Druck mittel</c:v>
                  </c:pt>
                  <c:pt idx="2">
                    <c:v>Druck stark</c:v>
                  </c:pt>
                  <c:pt idx="3">
                    <c:v>Druck leicht</c:v>
                  </c:pt>
                  <c:pt idx="4">
                    <c:v>Druck mittel</c:v>
                  </c:pt>
                  <c:pt idx="5">
                    <c:v>Druck stark</c:v>
                  </c:pt>
                </c:lvl>
                <c:lvl>
                  <c:pt idx="0">
                    <c:v>Dianem</c:v>
                  </c:pt>
                  <c:pt idx="3">
                    <c:v>Dianem + Insektizid</c:v>
                  </c:pt>
                </c:lvl>
              </c:multiLvlStrCache>
            </c:multiLvlStrRef>
          </c:cat>
          <c:val>
            <c:numRef>
              <c:f>'Bezüge 2'!$F$270:$F$275</c:f>
              <c:numCache>
                <c:formatCode>General</c:formatCode>
                <c:ptCount val="6"/>
                <c:pt idx="0">
                  <c:v>2</c:v>
                </c:pt>
                <c:pt idx="1">
                  <c:v>2</c:v>
                </c:pt>
                <c:pt idx="5">
                  <c:v>1</c:v>
                </c:pt>
              </c:numCache>
            </c:numRef>
          </c:val>
          <c:extLst>
            <c:ext xmlns:c16="http://schemas.microsoft.com/office/drawing/2014/chart" uri="{C3380CC4-5D6E-409C-BE32-E72D297353CC}">
              <c16:uniqueId val="{00000003-4E0F-4892-B767-E04F651F2FB1}"/>
            </c:ext>
          </c:extLst>
        </c:ser>
        <c:dLbls>
          <c:showLegendKey val="0"/>
          <c:showVal val="0"/>
          <c:showCatName val="0"/>
          <c:showSerName val="0"/>
          <c:showPercent val="0"/>
          <c:showBubbleSize val="0"/>
        </c:dLbls>
        <c:gapWidth val="150"/>
        <c:overlap val="100"/>
        <c:axId val="110986752"/>
        <c:axId val="110988288"/>
      </c:barChart>
      <c:catAx>
        <c:axId val="110986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10988288"/>
        <c:crosses val="autoZero"/>
        <c:auto val="1"/>
        <c:lblAlgn val="ctr"/>
        <c:lblOffset val="100"/>
        <c:noMultiLvlLbl val="0"/>
      </c:catAx>
      <c:valAx>
        <c:axId val="1109882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10986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AT"/>
              <a:t>Feld 1/Siloacker</a:t>
            </a:r>
          </a:p>
          <a:p>
            <a:pPr>
              <a:defRPr sz="1400" b="0" i="0" u="none" strike="noStrike" kern="1200" spc="0" baseline="0">
                <a:solidFill>
                  <a:schemeClr val="tx1">
                    <a:lumMod val="65000"/>
                    <a:lumOff val="35000"/>
                  </a:schemeClr>
                </a:solidFill>
                <a:latin typeface="+mn-lt"/>
                <a:ea typeface="+mn-ea"/>
                <a:cs typeface="+mn-cs"/>
              </a:defRPr>
            </a:pPr>
            <a:r>
              <a:rPr lang="de-AT" sz="1400" b="0" i="0" baseline="0">
                <a:effectLst/>
              </a:rPr>
              <a:t>Larvalmortalität von </a:t>
            </a:r>
            <a:r>
              <a:rPr lang="de-AT" sz="1400" b="0" i="1" baseline="0">
                <a:effectLst/>
              </a:rPr>
              <a:t>T. molitor </a:t>
            </a:r>
            <a:r>
              <a:rPr lang="de-AT" sz="1400" b="0" i="0" baseline="0">
                <a:effectLst/>
              </a:rPr>
              <a:t>in % im Persistenztest nach Pilz; n=12</a:t>
            </a:r>
            <a:endParaRPr lang="de-AT" sz="1400">
              <a:effectLst/>
            </a:endParaRPr>
          </a:p>
        </c:rich>
      </c:tx>
      <c:overlay val="0"/>
      <c:spPr>
        <a:noFill/>
        <a:ln>
          <a:noFill/>
        </a:ln>
        <a:effectLst/>
      </c:spPr>
    </c:title>
    <c:autoTitleDeleted val="0"/>
    <c:plotArea>
      <c:layout/>
      <c:barChart>
        <c:barDir val="col"/>
        <c:grouping val="clustered"/>
        <c:varyColors val="0"/>
        <c:ser>
          <c:idx val="0"/>
          <c:order val="0"/>
          <c:tx>
            <c:strRef>
              <c:f>Auswertung!$A$8</c:f>
              <c:strCache>
                <c:ptCount val="1"/>
                <c:pt idx="0">
                  <c:v>durch Nematoden</c:v>
                </c:pt>
              </c:strCache>
            </c:strRef>
          </c:tx>
          <c:spPr>
            <a:solidFill>
              <a:schemeClr val="accent1"/>
            </a:solidFill>
            <a:ln>
              <a:noFill/>
            </a:ln>
            <a:effectLst/>
          </c:spPr>
          <c:invertIfNegative val="0"/>
          <c:cat>
            <c:multiLvlStrRef>
              <c:f>Auswertung!$B$6:$F$7</c:f>
              <c:multiLvlStrCache>
                <c:ptCount val="5"/>
                <c:lvl>
                  <c:pt idx="0">
                    <c:v>Nematoden</c:v>
                  </c:pt>
                  <c:pt idx="1">
                    <c:v>Metarhizium</c:v>
                  </c:pt>
                  <c:pt idx="2">
                    <c:v>Kombi Bakterien &amp; Nematoden</c:v>
                  </c:pt>
                  <c:pt idx="3">
                    <c:v>Kombi Nematoden &amp; Metarhizium</c:v>
                  </c:pt>
                  <c:pt idx="4">
                    <c:v>Unbehandelte Kontrolle </c:v>
                  </c:pt>
                </c:lvl>
                <c:lvl>
                  <c:pt idx="0">
                    <c:v>V 1</c:v>
                  </c:pt>
                  <c:pt idx="1">
                    <c:v>V 2</c:v>
                  </c:pt>
                  <c:pt idx="2">
                    <c:v>V 4</c:v>
                  </c:pt>
                  <c:pt idx="3">
                    <c:v>V 6</c:v>
                  </c:pt>
                  <c:pt idx="4">
                    <c:v>V 7</c:v>
                  </c:pt>
                </c:lvl>
              </c:multiLvlStrCache>
            </c:multiLvlStrRef>
          </c:cat>
          <c:val>
            <c:numRef>
              <c:f>Auswertung!$B$8:$F$8</c:f>
              <c:numCache>
                <c:formatCode>0</c:formatCode>
                <c:ptCount val="5"/>
                <c:pt idx="0">
                  <c:v>5.416666666666667</c:v>
                </c:pt>
                <c:pt idx="1">
                  <c:v>0.83333333333333337</c:v>
                </c:pt>
                <c:pt idx="2">
                  <c:v>0</c:v>
                </c:pt>
                <c:pt idx="3">
                  <c:v>1.6666666666666667</c:v>
                </c:pt>
                <c:pt idx="4">
                  <c:v>4.166666666666667</c:v>
                </c:pt>
              </c:numCache>
            </c:numRef>
          </c:val>
          <c:extLst>
            <c:ext xmlns:c16="http://schemas.microsoft.com/office/drawing/2014/chart" uri="{C3380CC4-5D6E-409C-BE32-E72D297353CC}">
              <c16:uniqueId val="{00000000-60B4-4B29-90BC-D83A02E42CFE}"/>
            </c:ext>
          </c:extLst>
        </c:ser>
        <c:ser>
          <c:idx val="1"/>
          <c:order val="1"/>
          <c:tx>
            <c:strRef>
              <c:f>Auswertung!$A$9</c:f>
              <c:strCache>
                <c:ptCount val="1"/>
                <c:pt idx="0">
                  <c:v>durch Pilz</c:v>
                </c:pt>
              </c:strCache>
            </c:strRef>
          </c:tx>
          <c:spPr>
            <a:solidFill>
              <a:schemeClr val="accent2"/>
            </a:solidFill>
            <a:ln>
              <a:noFill/>
            </a:ln>
            <a:effectLst/>
          </c:spPr>
          <c:invertIfNegative val="0"/>
          <c:cat>
            <c:multiLvlStrRef>
              <c:f>Auswertung!$B$6:$F$7</c:f>
              <c:multiLvlStrCache>
                <c:ptCount val="5"/>
                <c:lvl>
                  <c:pt idx="0">
                    <c:v>Nematoden</c:v>
                  </c:pt>
                  <c:pt idx="1">
                    <c:v>Metarhizium</c:v>
                  </c:pt>
                  <c:pt idx="2">
                    <c:v>Kombi Bakterien &amp; Nematoden</c:v>
                  </c:pt>
                  <c:pt idx="3">
                    <c:v>Kombi Nematoden &amp; Metarhizium</c:v>
                  </c:pt>
                  <c:pt idx="4">
                    <c:v>Unbehandelte Kontrolle </c:v>
                  </c:pt>
                </c:lvl>
                <c:lvl>
                  <c:pt idx="0">
                    <c:v>V 1</c:v>
                  </c:pt>
                  <c:pt idx="1">
                    <c:v>V 2</c:v>
                  </c:pt>
                  <c:pt idx="2">
                    <c:v>V 4</c:v>
                  </c:pt>
                  <c:pt idx="3">
                    <c:v>V 6</c:v>
                  </c:pt>
                  <c:pt idx="4">
                    <c:v>V 7</c:v>
                  </c:pt>
                </c:lvl>
              </c:multiLvlStrCache>
            </c:multiLvlStrRef>
          </c:cat>
          <c:val>
            <c:numRef>
              <c:f>Auswertung!$B$9:$F$9</c:f>
              <c:numCache>
                <c:formatCode>0</c:formatCode>
                <c:ptCount val="5"/>
                <c:pt idx="0">
                  <c:v>7.916666666666667</c:v>
                </c:pt>
                <c:pt idx="1">
                  <c:v>52.138680033416883</c:v>
                </c:pt>
                <c:pt idx="2">
                  <c:v>20.109649122807017</c:v>
                </c:pt>
                <c:pt idx="3">
                  <c:v>33.201754385964911</c:v>
                </c:pt>
                <c:pt idx="4">
                  <c:v>55</c:v>
                </c:pt>
              </c:numCache>
            </c:numRef>
          </c:val>
          <c:extLst>
            <c:ext xmlns:c16="http://schemas.microsoft.com/office/drawing/2014/chart" uri="{C3380CC4-5D6E-409C-BE32-E72D297353CC}">
              <c16:uniqueId val="{00000001-60B4-4B29-90BC-D83A02E42CFE}"/>
            </c:ext>
          </c:extLst>
        </c:ser>
        <c:ser>
          <c:idx val="2"/>
          <c:order val="2"/>
          <c:tx>
            <c:strRef>
              <c:f>Auswertung!$A$10</c:f>
              <c:strCache>
                <c:ptCount val="1"/>
                <c:pt idx="0">
                  <c:v>Rest</c:v>
                </c:pt>
              </c:strCache>
            </c:strRef>
          </c:tx>
          <c:spPr>
            <a:solidFill>
              <a:schemeClr val="accent3"/>
            </a:solidFill>
            <a:ln>
              <a:noFill/>
            </a:ln>
            <a:effectLst/>
          </c:spPr>
          <c:invertIfNegative val="0"/>
          <c:cat>
            <c:multiLvlStrRef>
              <c:f>Auswertung!$B$6:$F$7</c:f>
              <c:multiLvlStrCache>
                <c:ptCount val="5"/>
                <c:lvl>
                  <c:pt idx="0">
                    <c:v>Nematoden</c:v>
                  </c:pt>
                  <c:pt idx="1">
                    <c:v>Metarhizium</c:v>
                  </c:pt>
                  <c:pt idx="2">
                    <c:v>Kombi Bakterien &amp; Nematoden</c:v>
                  </c:pt>
                  <c:pt idx="3">
                    <c:v>Kombi Nematoden &amp; Metarhizium</c:v>
                  </c:pt>
                  <c:pt idx="4">
                    <c:v>Unbehandelte Kontrolle </c:v>
                  </c:pt>
                </c:lvl>
                <c:lvl>
                  <c:pt idx="0">
                    <c:v>V 1</c:v>
                  </c:pt>
                  <c:pt idx="1">
                    <c:v>V 2</c:v>
                  </c:pt>
                  <c:pt idx="2">
                    <c:v>V 4</c:v>
                  </c:pt>
                  <c:pt idx="3">
                    <c:v>V 6</c:v>
                  </c:pt>
                  <c:pt idx="4">
                    <c:v>V 7</c:v>
                  </c:pt>
                </c:lvl>
              </c:multiLvlStrCache>
            </c:multiLvlStrRef>
          </c:cat>
          <c:val>
            <c:numRef>
              <c:f>Auswertung!$B$10:$F$10</c:f>
              <c:numCache>
                <c:formatCode>0</c:formatCode>
                <c:ptCount val="5"/>
                <c:pt idx="0">
                  <c:v>14.166666666666666</c:v>
                </c:pt>
                <c:pt idx="1">
                  <c:v>17.06766917293233</c:v>
                </c:pt>
                <c:pt idx="2">
                  <c:v>14.671052631578947</c:v>
                </c:pt>
                <c:pt idx="3">
                  <c:v>15.921052631578947</c:v>
                </c:pt>
                <c:pt idx="4">
                  <c:v>19.166666666666668</c:v>
                </c:pt>
              </c:numCache>
            </c:numRef>
          </c:val>
          <c:extLst>
            <c:ext xmlns:c16="http://schemas.microsoft.com/office/drawing/2014/chart" uri="{C3380CC4-5D6E-409C-BE32-E72D297353CC}">
              <c16:uniqueId val="{00000002-60B4-4B29-90BC-D83A02E42CFE}"/>
            </c:ext>
          </c:extLst>
        </c:ser>
        <c:ser>
          <c:idx val="3"/>
          <c:order val="3"/>
          <c:tx>
            <c:strRef>
              <c:f>Auswertung!$A$11</c:f>
              <c:strCache>
                <c:ptCount val="1"/>
                <c:pt idx="0">
                  <c:v>Gesamtmortalität</c:v>
                </c:pt>
              </c:strCache>
            </c:strRef>
          </c:tx>
          <c:spPr>
            <a:solidFill>
              <a:schemeClr val="accent4"/>
            </a:solidFill>
            <a:ln>
              <a:noFill/>
            </a:ln>
            <a:effectLst/>
          </c:spPr>
          <c:invertIfNegative val="0"/>
          <c:cat>
            <c:multiLvlStrRef>
              <c:f>Auswertung!$B$6:$F$7</c:f>
              <c:multiLvlStrCache>
                <c:ptCount val="5"/>
                <c:lvl>
                  <c:pt idx="0">
                    <c:v>Nematoden</c:v>
                  </c:pt>
                  <c:pt idx="1">
                    <c:v>Metarhizium</c:v>
                  </c:pt>
                  <c:pt idx="2">
                    <c:v>Kombi Bakterien &amp; Nematoden</c:v>
                  </c:pt>
                  <c:pt idx="3">
                    <c:v>Kombi Nematoden &amp; Metarhizium</c:v>
                  </c:pt>
                  <c:pt idx="4">
                    <c:v>Unbehandelte Kontrolle </c:v>
                  </c:pt>
                </c:lvl>
                <c:lvl>
                  <c:pt idx="0">
                    <c:v>V 1</c:v>
                  </c:pt>
                  <c:pt idx="1">
                    <c:v>V 2</c:v>
                  </c:pt>
                  <c:pt idx="2">
                    <c:v>V 4</c:v>
                  </c:pt>
                  <c:pt idx="3">
                    <c:v>V 6</c:v>
                  </c:pt>
                  <c:pt idx="4">
                    <c:v>V 7</c:v>
                  </c:pt>
                </c:lvl>
              </c:multiLvlStrCache>
            </c:multiLvlStrRef>
          </c:cat>
          <c:val>
            <c:numRef>
              <c:f>Auswertung!$B$11:$F$11</c:f>
              <c:numCache>
                <c:formatCode>0</c:formatCode>
                <c:ptCount val="5"/>
                <c:pt idx="0">
                  <c:v>27.5</c:v>
                </c:pt>
                <c:pt idx="1">
                  <c:v>70.039682539682545</c:v>
                </c:pt>
                <c:pt idx="2">
                  <c:v>34.780701754385966</c:v>
                </c:pt>
                <c:pt idx="3">
                  <c:v>50.789473684210527</c:v>
                </c:pt>
                <c:pt idx="4">
                  <c:v>78.333333333333329</c:v>
                </c:pt>
              </c:numCache>
            </c:numRef>
          </c:val>
          <c:extLst>
            <c:ext xmlns:c16="http://schemas.microsoft.com/office/drawing/2014/chart" uri="{C3380CC4-5D6E-409C-BE32-E72D297353CC}">
              <c16:uniqueId val="{00000003-60B4-4B29-90BC-D83A02E42CFE}"/>
            </c:ext>
          </c:extLst>
        </c:ser>
        <c:dLbls>
          <c:showLegendKey val="0"/>
          <c:showVal val="0"/>
          <c:showCatName val="0"/>
          <c:showSerName val="0"/>
          <c:showPercent val="0"/>
          <c:showBubbleSize val="0"/>
        </c:dLbls>
        <c:gapWidth val="219"/>
        <c:overlap val="-27"/>
        <c:axId val="111389312"/>
        <c:axId val="129925504"/>
      </c:barChart>
      <c:catAx>
        <c:axId val="111389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29925504"/>
        <c:crosses val="autoZero"/>
        <c:auto val="1"/>
        <c:lblAlgn val="ctr"/>
        <c:lblOffset val="100"/>
        <c:noMultiLvlLbl val="0"/>
      </c:catAx>
      <c:valAx>
        <c:axId val="1299255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11389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AT"/>
              <a:t>Feld 2/Gomboc</a:t>
            </a:r>
          </a:p>
          <a:p>
            <a:pPr>
              <a:defRPr sz="1400" b="0" i="0" u="none" strike="noStrike" kern="1200" spc="0" baseline="0">
                <a:solidFill>
                  <a:schemeClr val="tx1">
                    <a:lumMod val="65000"/>
                    <a:lumOff val="35000"/>
                  </a:schemeClr>
                </a:solidFill>
                <a:latin typeface="+mn-lt"/>
                <a:ea typeface="+mn-ea"/>
                <a:cs typeface="+mn-cs"/>
              </a:defRPr>
            </a:pPr>
            <a:r>
              <a:rPr lang="de-AT" sz="1400" b="0" i="0" baseline="0">
                <a:effectLst/>
              </a:rPr>
              <a:t>Larvalmortalität von </a:t>
            </a:r>
            <a:r>
              <a:rPr lang="de-AT" sz="1400" b="0" i="1" baseline="0">
                <a:effectLst/>
              </a:rPr>
              <a:t>T. molitor </a:t>
            </a:r>
            <a:r>
              <a:rPr lang="de-AT" sz="1400" b="0" i="0" baseline="0">
                <a:effectLst/>
              </a:rPr>
              <a:t>in % im Persistenztest nach Pilz; n=12</a:t>
            </a:r>
            <a:endParaRPr lang="de-AT" sz="1400">
              <a:effectLst/>
            </a:endParaRPr>
          </a:p>
        </c:rich>
      </c:tx>
      <c:overlay val="0"/>
      <c:spPr>
        <a:noFill/>
        <a:ln>
          <a:noFill/>
        </a:ln>
        <a:effectLst/>
      </c:spPr>
    </c:title>
    <c:autoTitleDeleted val="0"/>
    <c:plotArea>
      <c:layout/>
      <c:barChart>
        <c:barDir val="col"/>
        <c:grouping val="clustered"/>
        <c:varyColors val="0"/>
        <c:ser>
          <c:idx val="0"/>
          <c:order val="0"/>
          <c:tx>
            <c:strRef>
              <c:f>Auswertung!$A$17</c:f>
              <c:strCache>
                <c:ptCount val="1"/>
                <c:pt idx="0">
                  <c:v>durch Nematoden</c:v>
                </c:pt>
              </c:strCache>
            </c:strRef>
          </c:tx>
          <c:spPr>
            <a:solidFill>
              <a:schemeClr val="accent1"/>
            </a:solidFill>
            <a:ln>
              <a:noFill/>
            </a:ln>
            <a:effectLst/>
          </c:spPr>
          <c:invertIfNegative val="0"/>
          <c:cat>
            <c:multiLvlStrRef>
              <c:f>Auswertung!$B$15:$F$16</c:f>
              <c:multiLvlStrCache>
                <c:ptCount val="5"/>
                <c:lvl>
                  <c:pt idx="0">
                    <c:v>Nematoden</c:v>
                  </c:pt>
                  <c:pt idx="1">
                    <c:v>Metarhizium</c:v>
                  </c:pt>
                  <c:pt idx="2">
                    <c:v>Kombi Bakterien &amp; Nematoden</c:v>
                  </c:pt>
                  <c:pt idx="3">
                    <c:v>Kombi Nematoden &amp; Metarhizium</c:v>
                  </c:pt>
                  <c:pt idx="4">
                    <c:v>Unbehandelte Kontrolle </c:v>
                  </c:pt>
                </c:lvl>
                <c:lvl>
                  <c:pt idx="0">
                    <c:v>V 1</c:v>
                  </c:pt>
                  <c:pt idx="1">
                    <c:v>V 2</c:v>
                  </c:pt>
                  <c:pt idx="2">
                    <c:v>V 4</c:v>
                  </c:pt>
                  <c:pt idx="3">
                    <c:v>V 6</c:v>
                  </c:pt>
                  <c:pt idx="4">
                    <c:v>V 7</c:v>
                  </c:pt>
                </c:lvl>
              </c:multiLvlStrCache>
            </c:multiLvlStrRef>
          </c:cat>
          <c:val>
            <c:numRef>
              <c:f>Auswertung!$B$17:$F$17</c:f>
              <c:numCache>
                <c:formatCode>0</c:formatCode>
                <c:ptCount val="5"/>
                <c:pt idx="0">
                  <c:v>4.583333333333333</c:v>
                </c:pt>
                <c:pt idx="1">
                  <c:v>0</c:v>
                </c:pt>
                <c:pt idx="2">
                  <c:v>7.4801587301587302</c:v>
                </c:pt>
                <c:pt idx="3">
                  <c:v>9.5436507936507926</c:v>
                </c:pt>
                <c:pt idx="4">
                  <c:v>0</c:v>
                </c:pt>
              </c:numCache>
            </c:numRef>
          </c:val>
          <c:extLst>
            <c:ext xmlns:c16="http://schemas.microsoft.com/office/drawing/2014/chart" uri="{C3380CC4-5D6E-409C-BE32-E72D297353CC}">
              <c16:uniqueId val="{00000000-A050-481F-856D-D976B0E0B7C7}"/>
            </c:ext>
          </c:extLst>
        </c:ser>
        <c:ser>
          <c:idx val="1"/>
          <c:order val="1"/>
          <c:tx>
            <c:strRef>
              <c:f>Auswertung!$A$18</c:f>
              <c:strCache>
                <c:ptCount val="1"/>
                <c:pt idx="0">
                  <c:v>durch Pilz</c:v>
                </c:pt>
              </c:strCache>
            </c:strRef>
          </c:tx>
          <c:spPr>
            <a:solidFill>
              <a:schemeClr val="accent2"/>
            </a:solidFill>
            <a:ln>
              <a:noFill/>
            </a:ln>
            <a:effectLst/>
          </c:spPr>
          <c:invertIfNegative val="0"/>
          <c:cat>
            <c:multiLvlStrRef>
              <c:f>Auswertung!$B$15:$F$16</c:f>
              <c:multiLvlStrCache>
                <c:ptCount val="5"/>
                <c:lvl>
                  <c:pt idx="0">
                    <c:v>Nematoden</c:v>
                  </c:pt>
                  <c:pt idx="1">
                    <c:v>Metarhizium</c:v>
                  </c:pt>
                  <c:pt idx="2">
                    <c:v>Kombi Bakterien &amp; Nematoden</c:v>
                  </c:pt>
                  <c:pt idx="3">
                    <c:v>Kombi Nematoden &amp; Metarhizium</c:v>
                  </c:pt>
                  <c:pt idx="4">
                    <c:v>Unbehandelte Kontrolle </c:v>
                  </c:pt>
                </c:lvl>
                <c:lvl>
                  <c:pt idx="0">
                    <c:v>V 1</c:v>
                  </c:pt>
                  <c:pt idx="1">
                    <c:v>V 2</c:v>
                  </c:pt>
                  <c:pt idx="2">
                    <c:v>V 4</c:v>
                  </c:pt>
                  <c:pt idx="3">
                    <c:v>V 6</c:v>
                  </c:pt>
                  <c:pt idx="4">
                    <c:v>V 7</c:v>
                  </c:pt>
                </c:lvl>
              </c:multiLvlStrCache>
            </c:multiLvlStrRef>
          </c:cat>
          <c:val>
            <c:numRef>
              <c:f>Auswertung!$B$18:$F$18</c:f>
              <c:numCache>
                <c:formatCode>0</c:formatCode>
                <c:ptCount val="5"/>
                <c:pt idx="0">
                  <c:v>28.69047619047619</c:v>
                </c:pt>
                <c:pt idx="1">
                  <c:v>57.023809523809526</c:v>
                </c:pt>
                <c:pt idx="2">
                  <c:v>29.900793650793648</c:v>
                </c:pt>
                <c:pt idx="3">
                  <c:v>52.638888888888893</c:v>
                </c:pt>
                <c:pt idx="4">
                  <c:v>54.166666666666664</c:v>
                </c:pt>
              </c:numCache>
            </c:numRef>
          </c:val>
          <c:extLst>
            <c:ext xmlns:c16="http://schemas.microsoft.com/office/drawing/2014/chart" uri="{C3380CC4-5D6E-409C-BE32-E72D297353CC}">
              <c16:uniqueId val="{00000001-A050-481F-856D-D976B0E0B7C7}"/>
            </c:ext>
          </c:extLst>
        </c:ser>
        <c:ser>
          <c:idx val="2"/>
          <c:order val="2"/>
          <c:tx>
            <c:strRef>
              <c:f>Auswertung!$A$19</c:f>
              <c:strCache>
                <c:ptCount val="1"/>
                <c:pt idx="0">
                  <c:v>Rest</c:v>
                </c:pt>
              </c:strCache>
            </c:strRef>
          </c:tx>
          <c:spPr>
            <a:solidFill>
              <a:schemeClr val="accent3"/>
            </a:solidFill>
            <a:ln>
              <a:noFill/>
            </a:ln>
            <a:effectLst/>
          </c:spPr>
          <c:invertIfNegative val="0"/>
          <c:cat>
            <c:multiLvlStrRef>
              <c:f>Auswertung!$B$15:$F$16</c:f>
              <c:multiLvlStrCache>
                <c:ptCount val="5"/>
                <c:lvl>
                  <c:pt idx="0">
                    <c:v>Nematoden</c:v>
                  </c:pt>
                  <c:pt idx="1">
                    <c:v>Metarhizium</c:v>
                  </c:pt>
                  <c:pt idx="2">
                    <c:v>Kombi Bakterien &amp; Nematoden</c:v>
                  </c:pt>
                  <c:pt idx="3">
                    <c:v>Kombi Nematoden &amp; Metarhizium</c:v>
                  </c:pt>
                  <c:pt idx="4">
                    <c:v>Unbehandelte Kontrolle </c:v>
                  </c:pt>
                </c:lvl>
                <c:lvl>
                  <c:pt idx="0">
                    <c:v>V 1</c:v>
                  </c:pt>
                  <c:pt idx="1">
                    <c:v>V 2</c:v>
                  </c:pt>
                  <c:pt idx="2">
                    <c:v>V 4</c:v>
                  </c:pt>
                  <c:pt idx="3">
                    <c:v>V 6</c:v>
                  </c:pt>
                  <c:pt idx="4">
                    <c:v>V 7</c:v>
                  </c:pt>
                </c:lvl>
              </c:multiLvlStrCache>
            </c:multiLvlStrRef>
          </c:cat>
          <c:val>
            <c:numRef>
              <c:f>Auswertung!$B$19:$F$19</c:f>
              <c:numCache>
                <c:formatCode>0</c:formatCode>
                <c:ptCount val="5"/>
                <c:pt idx="0">
                  <c:v>13.730158730158729</c:v>
                </c:pt>
                <c:pt idx="1">
                  <c:v>12.876984126984127</c:v>
                </c:pt>
                <c:pt idx="2">
                  <c:v>13.71031746031746</c:v>
                </c:pt>
                <c:pt idx="3">
                  <c:v>13.313492063492063</c:v>
                </c:pt>
                <c:pt idx="4">
                  <c:v>9.1666666666666661</c:v>
                </c:pt>
              </c:numCache>
            </c:numRef>
          </c:val>
          <c:extLst>
            <c:ext xmlns:c16="http://schemas.microsoft.com/office/drawing/2014/chart" uri="{C3380CC4-5D6E-409C-BE32-E72D297353CC}">
              <c16:uniqueId val="{00000002-A050-481F-856D-D976B0E0B7C7}"/>
            </c:ext>
          </c:extLst>
        </c:ser>
        <c:ser>
          <c:idx val="3"/>
          <c:order val="3"/>
          <c:tx>
            <c:strRef>
              <c:f>Auswertung!$A$20</c:f>
              <c:strCache>
                <c:ptCount val="1"/>
                <c:pt idx="0">
                  <c:v>Gesamtmortalität</c:v>
                </c:pt>
              </c:strCache>
            </c:strRef>
          </c:tx>
          <c:spPr>
            <a:solidFill>
              <a:schemeClr val="accent4"/>
            </a:solidFill>
            <a:ln>
              <a:noFill/>
            </a:ln>
            <a:effectLst/>
          </c:spPr>
          <c:invertIfNegative val="0"/>
          <c:cat>
            <c:multiLvlStrRef>
              <c:f>Auswertung!$B$15:$F$16</c:f>
              <c:multiLvlStrCache>
                <c:ptCount val="5"/>
                <c:lvl>
                  <c:pt idx="0">
                    <c:v>Nematoden</c:v>
                  </c:pt>
                  <c:pt idx="1">
                    <c:v>Metarhizium</c:v>
                  </c:pt>
                  <c:pt idx="2">
                    <c:v>Kombi Bakterien &amp; Nematoden</c:v>
                  </c:pt>
                  <c:pt idx="3">
                    <c:v>Kombi Nematoden &amp; Metarhizium</c:v>
                  </c:pt>
                  <c:pt idx="4">
                    <c:v>Unbehandelte Kontrolle </c:v>
                  </c:pt>
                </c:lvl>
                <c:lvl>
                  <c:pt idx="0">
                    <c:v>V 1</c:v>
                  </c:pt>
                  <c:pt idx="1">
                    <c:v>V 2</c:v>
                  </c:pt>
                  <c:pt idx="2">
                    <c:v>V 4</c:v>
                  </c:pt>
                  <c:pt idx="3">
                    <c:v>V 6</c:v>
                  </c:pt>
                  <c:pt idx="4">
                    <c:v>V 7</c:v>
                  </c:pt>
                </c:lvl>
              </c:multiLvlStrCache>
            </c:multiLvlStrRef>
          </c:cat>
          <c:val>
            <c:numRef>
              <c:f>Auswertung!$B$20:$F$20</c:f>
              <c:numCache>
                <c:formatCode>0</c:formatCode>
                <c:ptCount val="5"/>
                <c:pt idx="0">
                  <c:v>47.003968253968253</c:v>
                </c:pt>
                <c:pt idx="1">
                  <c:v>69.900793650793659</c:v>
                </c:pt>
                <c:pt idx="2">
                  <c:v>51.091269841269842</c:v>
                </c:pt>
                <c:pt idx="3">
                  <c:v>75.496031746031747</c:v>
                </c:pt>
                <c:pt idx="4">
                  <c:v>63.333333333333336</c:v>
                </c:pt>
              </c:numCache>
            </c:numRef>
          </c:val>
          <c:extLst>
            <c:ext xmlns:c16="http://schemas.microsoft.com/office/drawing/2014/chart" uri="{C3380CC4-5D6E-409C-BE32-E72D297353CC}">
              <c16:uniqueId val="{00000003-A050-481F-856D-D976B0E0B7C7}"/>
            </c:ext>
          </c:extLst>
        </c:ser>
        <c:dLbls>
          <c:showLegendKey val="0"/>
          <c:showVal val="0"/>
          <c:showCatName val="0"/>
          <c:showSerName val="0"/>
          <c:showPercent val="0"/>
          <c:showBubbleSize val="0"/>
        </c:dLbls>
        <c:gapWidth val="219"/>
        <c:overlap val="-27"/>
        <c:axId val="131322240"/>
        <c:axId val="131323776"/>
      </c:barChart>
      <c:catAx>
        <c:axId val="131322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31323776"/>
        <c:crosses val="autoZero"/>
        <c:auto val="1"/>
        <c:lblAlgn val="ctr"/>
        <c:lblOffset val="100"/>
        <c:noMultiLvlLbl val="0"/>
      </c:catAx>
      <c:valAx>
        <c:axId val="131323776"/>
        <c:scaling>
          <c:orientation val="minMax"/>
          <c:max val="9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31322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e-AT"/>
              <a:t>Feld 3/Langacker</a:t>
            </a:r>
          </a:p>
          <a:p>
            <a:pPr>
              <a:defRPr sz="1400" b="0" i="0" u="none" strike="noStrike" kern="1200" spc="0" baseline="0">
                <a:solidFill>
                  <a:schemeClr val="tx1">
                    <a:lumMod val="65000"/>
                    <a:lumOff val="35000"/>
                  </a:schemeClr>
                </a:solidFill>
                <a:latin typeface="+mn-lt"/>
                <a:ea typeface="+mn-ea"/>
                <a:cs typeface="+mn-cs"/>
              </a:defRPr>
            </a:pPr>
            <a:r>
              <a:rPr lang="de-AT" sz="1400" b="0" i="0" baseline="0">
                <a:effectLst/>
              </a:rPr>
              <a:t>Larvalmortalität von </a:t>
            </a:r>
            <a:r>
              <a:rPr lang="de-AT" sz="1400" b="0" i="1" baseline="0">
                <a:effectLst/>
              </a:rPr>
              <a:t>T. molitor </a:t>
            </a:r>
            <a:r>
              <a:rPr lang="de-AT" sz="1400" b="0" i="0" baseline="0">
                <a:effectLst/>
              </a:rPr>
              <a:t>in % im Persistenztest nach Pilz; n=12</a:t>
            </a:r>
            <a:endParaRPr lang="de-AT" sz="1400">
              <a:effectLst/>
            </a:endParaRPr>
          </a:p>
        </c:rich>
      </c:tx>
      <c:overlay val="0"/>
      <c:spPr>
        <a:noFill/>
        <a:ln>
          <a:noFill/>
        </a:ln>
        <a:effectLst/>
      </c:spPr>
    </c:title>
    <c:autoTitleDeleted val="0"/>
    <c:plotArea>
      <c:layout/>
      <c:barChart>
        <c:barDir val="col"/>
        <c:grouping val="clustered"/>
        <c:varyColors val="0"/>
        <c:ser>
          <c:idx val="0"/>
          <c:order val="0"/>
          <c:tx>
            <c:strRef>
              <c:f>Auswertung!$A$26</c:f>
              <c:strCache>
                <c:ptCount val="1"/>
                <c:pt idx="0">
                  <c:v>durch Nematoden</c:v>
                </c:pt>
              </c:strCache>
            </c:strRef>
          </c:tx>
          <c:spPr>
            <a:solidFill>
              <a:schemeClr val="accent1"/>
            </a:solidFill>
            <a:ln>
              <a:noFill/>
            </a:ln>
            <a:effectLst/>
          </c:spPr>
          <c:invertIfNegative val="0"/>
          <c:cat>
            <c:multiLvlStrRef>
              <c:f>Auswertung!$B$24:$F$25</c:f>
              <c:multiLvlStrCache>
                <c:ptCount val="5"/>
                <c:lvl>
                  <c:pt idx="0">
                    <c:v>Nematoden</c:v>
                  </c:pt>
                  <c:pt idx="1">
                    <c:v>Metarhizium</c:v>
                  </c:pt>
                  <c:pt idx="2">
                    <c:v>Kombi Bakterien &amp; Nematoden</c:v>
                  </c:pt>
                  <c:pt idx="3">
                    <c:v>Kombi Nematoden &amp; Metarhizium</c:v>
                  </c:pt>
                  <c:pt idx="4">
                    <c:v>Unbehandelte Kontrolle </c:v>
                  </c:pt>
                </c:lvl>
                <c:lvl>
                  <c:pt idx="0">
                    <c:v>V 1</c:v>
                  </c:pt>
                  <c:pt idx="1">
                    <c:v>V 2</c:v>
                  </c:pt>
                  <c:pt idx="2">
                    <c:v>V 4</c:v>
                  </c:pt>
                  <c:pt idx="3">
                    <c:v>V 6</c:v>
                  </c:pt>
                  <c:pt idx="4">
                    <c:v>V 7</c:v>
                  </c:pt>
                </c:lvl>
              </c:multiLvlStrCache>
            </c:multiLvlStrRef>
          </c:cat>
          <c:val>
            <c:numRef>
              <c:f>Auswertung!$B$26:$F$26</c:f>
              <c:numCache>
                <c:formatCode>0</c:formatCode>
                <c:ptCount val="5"/>
                <c:pt idx="0">
                  <c:v>7.5</c:v>
                </c:pt>
                <c:pt idx="1">
                  <c:v>0.41666666666666669</c:v>
                </c:pt>
                <c:pt idx="2">
                  <c:v>5</c:v>
                </c:pt>
                <c:pt idx="3">
                  <c:v>10.416666666666666</c:v>
                </c:pt>
                <c:pt idx="4">
                  <c:v>11.666666666666666</c:v>
                </c:pt>
              </c:numCache>
            </c:numRef>
          </c:val>
          <c:extLst>
            <c:ext xmlns:c16="http://schemas.microsoft.com/office/drawing/2014/chart" uri="{C3380CC4-5D6E-409C-BE32-E72D297353CC}">
              <c16:uniqueId val="{00000000-34C2-4B11-806B-AC1F6B52428D}"/>
            </c:ext>
          </c:extLst>
        </c:ser>
        <c:ser>
          <c:idx val="1"/>
          <c:order val="1"/>
          <c:tx>
            <c:strRef>
              <c:f>Auswertung!$A$27</c:f>
              <c:strCache>
                <c:ptCount val="1"/>
                <c:pt idx="0">
                  <c:v>durch Pilz</c:v>
                </c:pt>
              </c:strCache>
            </c:strRef>
          </c:tx>
          <c:spPr>
            <a:solidFill>
              <a:schemeClr val="accent2"/>
            </a:solidFill>
            <a:ln>
              <a:noFill/>
            </a:ln>
            <a:effectLst/>
          </c:spPr>
          <c:invertIfNegative val="0"/>
          <c:cat>
            <c:multiLvlStrRef>
              <c:f>Auswertung!$B$24:$F$25</c:f>
              <c:multiLvlStrCache>
                <c:ptCount val="5"/>
                <c:lvl>
                  <c:pt idx="0">
                    <c:v>Nematoden</c:v>
                  </c:pt>
                  <c:pt idx="1">
                    <c:v>Metarhizium</c:v>
                  </c:pt>
                  <c:pt idx="2">
                    <c:v>Kombi Bakterien &amp; Nematoden</c:v>
                  </c:pt>
                  <c:pt idx="3">
                    <c:v>Kombi Nematoden &amp; Metarhizium</c:v>
                  </c:pt>
                  <c:pt idx="4">
                    <c:v>Unbehandelte Kontrolle </c:v>
                  </c:pt>
                </c:lvl>
                <c:lvl>
                  <c:pt idx="0">
                    <c:v>V 1</c:v>
                  </c:pt>
                  <c:pt idx="1">
                    <c:v>V 2</c:v>
                  </c:pt>
                  <c:pt idx="2">
                    <c:v>V 4</c:v>
                  </c:pt>
                  <c:pt idx="3">
                    <c:v>V 6</c:v>
                  </c:pt>
                  <c:pt idx="4">
                    <c:v>V 7</c:v>
                  </c:pt>
                </c:lvl>
              </c:multiLvlStrCache>
            </c:multiLvlStrRef>
          </c:cat>
          <c:val>
            <c:numRef>
              <c:f>Auswertung!$B$27:$F$27</c:f>
              <c:numCache>
                <c:formatCode>0</c:formatCode>
                <c:ptCount val="5"/>
                <c:pt idx="0">
                  <c:v>22.305194805194802</c:v>
                </c:pt>
                <c:pt idx="1">
                  <c:v>34.246031746031747</c:v>
                </c:pt>
                <c:pt idx="2">
                  <c:v>20.416666666666668</c:v>
                </c:pt>
                <c:pt idx="3">
                  <c:v>52.916666666666664</c:v>
                </c:pt>
                <c:pt idx="4">
                  <c:v>34.166666666666664</c:v>
                </c:pt>
              </c:numCache>
            </c:numRef>
          </c:val>
          <c:extLst>
            <c:ext xmlns:c16="http://schemas.microsoft.com/office/drawing/2014/chart" uri="{C3380CC4-5D6E-409C-BE32-E72D297353CC}">
              <c16:uniqueId val="{00000001-34C2-4B11-806B-AC1F6B52428D}"/>
            </c:ext>
          </c:extLst>
        </c:ser>
        <c:ser>
          <c:idx val="2"/>
          <c:order val="2"/>
          <c:tx>
            <c:strRef>
              <c:f>Auswertung!$A$28</c:f>
              <c:strCache>
                <c:ptCount val="1"/>
                <c:pt idx="0">
                  <c:v>Rest</c:v>
                </c:pt>
              </c:strCache>
            </c:strRef>
          </c:tx>
          <c:spPr>
            <a:solidFill>
              <a:schemeClr val="accent3"/>
            </a:solidFill>
            <a:ln>
              <a:noFill/>
            </a:ln>
            <a:effectLst/>
          </c:spPr>
          <c:invertIfNegative val="0"/>
          <c:cat>
            <c:multiLvlStrRef>
              <c:f>Auswertung!$B$24:$F$25</c:f>
              <c:multiLvlStrCache>
                <c:ptCount val="5"/>
                <c:lvl>
                  <c:pt idx="0">
                    <c:v>Nematoden</c:v>
                  </c:pt>
                  <c:pt idx="1">
                    <c:v>Metarhizium</c:v>
                  </c:pt>
                  <c:pt idx="2">
                    <c:v>Kombi Bakterien &amp; Nematoden</c:v>
                  </c:pt>
                  <c:pt idx="3">
                    <c:v>Kombi Nematoden &amp; Metarhizium</c:v>
                  </c:pt>
                  <c:pt idx="4">
                    <c:v>Unbehandelte Kontrolle </c:v>
                  </c:pt>
                </c:lvl>
                <c:lvl>
                  <c:pt idx="0">
                    <c:v>V 1</c:v>
                  </c:pt>
                  <c:pt idx="1">
                    <c:v>V 2</c:v>
                  </c:pt>
                  <c:pt idx="2">
                    <c:v>V 4</c:v>
                  </c:pt>
                  <c:pt idx="3">
                    <c:v>V 6</c:v>
                  </c:pt>
                  <c:pt idx="4">
                    <c:v>V 7</c:v>
                  </c:pt>
                </c:lvl>
              </c:multiLvlStrCache>
            </c:multiLvlStrRef>
          </c:cat>
          <c:val>
            <c:numRef>
              <c:f>Auswertung!$B$28:$F$28</c:f>
              <c:numCache>
                <c:formatCode>0</c:formatCode>
                <c:ptCount val="5"/>
                <c:pt idx="0">
                  <c:v>10.508658008658008</c:v>
                </c:pt>
                <c:pt idx="1">
                  <c:v>16.210317460317459</c:v>
                </c:pt>
                <c:pt idx="2">
                  <c:v>12.083333333333334</c:v>
                </c:pt>
                <c:pt idx="3">
                  <c:v>14.583333333333334</c:v>
                </c:pt>
                <c:pt idx="4">
                  <c:v>15</c:v>
                </c:pt>
              </c:numCache>
            </c:numRef>
          </c:val>
          <c:extLst>
            <c:ext xmlns:c16="http://schemas.microsoft.com/office/drawing/2014/chart" uri="{C3380CC4-5D6E-409C-BE32-E72D297353CC}">
              <c16:uniqueId val="{00000002-34C2-4B11-806B-AC1F6B52428D}"/>
            </c:ext>
          </c:extLst>
        </c:ser>
        <c:ser>
          <c:idx val="3"/>
          <c:order val="3"/>
          <c:tx>
            <c:strRef>
              <c:f>Auswertung!$A$29</c:f>
              <c:strCache>
                <c:ptCount val="1"/>
                <c:pt idx="0">
                  <c:v>Gesamtmortalität</c:v>
                </c:pt>
              </c:strCache>
            </c:strRef>
          </c:tx>
          <c:spPr>
            <a:solidFill>
              <a:schemeClr val="accent4"/>
            </a:solidFill>
            <a:ln>
              <a:noFill/>
            </a:ln>
            <a:effectLst/>
          </c:spPr>
          <c:invertIfNegative val="0"/>
          <c:cat>
            <c:multiLvlStrRef>
              <c:f>Auswertung!$B$24:$F$25</c:f>
              <c:multiLvlStrCache>
                <c:ptCount val="5"/>
                <c:lvl>
                  <c:pt idx="0">
                    <c:v>Nematoden</c:v>
                  </c:pt>
                  <c:pt idx="1">
                    <c:v>Metarhizium</c:v>
                  </c:pt>
                  <c:pt idx="2">
                    <c:v>Kombi Bakterien &amp; Nematoden</c:v>
                  </c:pt>
                  <c:pt idx="3">
                    <c:v>Kombi Nematoden &amp; Metarhizium</c:v>
                  </c:pt>
                  <c:pt idx="4">
                    <c:v>Unbehandelte Kontrolle </c:v>
                  </c:pt>
                </c:lvl>
                <c:lvl>
                  <c:pt idx="0">
                    <c:v>V 1</c:v>
                  </c:pt>
                  <c:pt idx="1">
                    <c:v>V 2</c:v>
                  </c:pt>
                  <c:pt idx="2">
                    <c:v>V 4</c:v>
                  </c:pt>
                  <c:pt idx="3">
                    <c:v>V 6</c:v>
                  </c:pt>
                  <c:pt idx="4">
                    <c:v>V 7</c:v>
                  </c:pt>
                </c:lvl>
              </c:multiLvlStrCache>
            </c:multiLvlStrRef>
          </c:cat>
          <c:val>
            <c:numRef>
              <c:f>Auswertung!$B$29:$F$29</c:f>
              <c:numCache>
                <c:formatCode>0</c:formatCode>
                <c:ptCount val="5"/>
                <c:pt idx="0">
                  <c:v>40.313852813852819</c:v>
                </c:pt>
                <c:pt idx="1">
                  <c:v>50.873015873015873</c:v>
                </c:pt>
                <c:pt idx="2">
                  <c:v>37.5</c:v>
                </c:pt>
                <c:pt idx="3">
                  <c:v>77.916666666666671</c:v>
                </c:pt>
                <c:pt idx="4">
                  <c:v>60.833333333333336</c:v>
                </c:pt>
              </c:numCache>
            </c:numRef>
          </c:val>
          <c:extLst>
            <c:ext xmlns:c16="http://schemas.microsoft.com/office/drawing/2014/chart" uri="{C3380CC4-5D6E-409C-BE32-E72D297353CC}">
              <c16:uniqueId val="{00000003-34C2-4B11-806B-AC1F6B52428D}"/>
            </c:ext>
          </c:extLst>
        </c:ser>
        <c:dLbls>
          <c:showLegendKey val="0"/>
          <c:showVal val="0"/>
          <c:showCatName val="0"/>
          <c:showSerName val="0"/>
          <c:showPercent val="0"/>
          <c:showBubbleSize val="0"/>
        </c:dLbls>
        <c:gapWidth val="219"/>
        <c:overlap val="-27"/>
        <c:axId val="147609472"/>
        <c:axId val="147611008"/>
      </c:barChart>
      <c:catAx>
        <c:axId val="147609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47611008"/>
        <c:crosses val="autoZero"/>
        <c:auto val="1"/>
        <c:lblAlgn val="ctr"/>
        <c:lblOffset val="100"/>
        <c:noMultiLvlLbl val="0"/>
      </c:catAx>
      <c:valAx>
        <c:axId val="1476110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47609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79090902543493"/>
          <c:y val="7.2910475431003194E-2"/>
          <c:w val="0.607052352481812"/>
          <c:h val="0.74132737901022505"/>
        </c:manualLayout>
      </c:layout>
      <c:barChart>
        <c:barDir val="col"/>
        <c:grouping val="clustered"/>
        <c:varyColors val="0"/>
        <c:ser>
          <c:idx val="0"/>
          <c:order val="0"/>
          <c:tx>
            <c:strRef>
              <c:f>Mittelwerte!$B$28</c:f>
              <c:strCache>
                <c:ptCount val="1"/>
                <c:pt idx="0">
                  <c:v>Labor 7°C</c:v>
                </c:pt>
              </c:strCache>
            </c:strRef>
          </c:tx>
          <c:invertIfNegative val="0"/>
          <c:cat>
            <c:numRef>
              <c:f>Mittelwerte!$A$29:$A$36</c:f>
              <c:numCache>
                <c:formatCode>General</c:formatCode>
                <c:ptCount val="8"/>
                <c:pt idx="0">
                  <c:v>1</c:v>
                </c:pt>
                <c:pt idx="1">
                  <c:v>2</c:v>
                </c:pt>
                <c:pt idx="2">
                  <c:v>3</c:v>
                </c:pt>
                <c:pt idx="3">
                  <c:v>4</c:v>
                </c:pt>
                <c:pt idx="4">
                  <c:v>5</c:v>
                </c:pt>
                <c:pt idx="5">
                  <c:v>6</c:v>
                </c:pt>
                <c:pt idx="6">
                  <c:v>7</c:v>
                </c:pt>
                <c:pt idx="7">
                  <c:v>8</c:v>
                </c:pt>
              </c:numCache>
            </c:numRef>
          </c:cat>
          <c:val>
            <c:numRef>
              <c:f>Mittelwerte!$B$29:$B$36</c:f>
              <c:numCache>
                <c:formatCode>General</c:formatCode>
                <c:ptCount val="8"/>
                <c:pt idx="0">
                  <c:v>5000</c:v>
                </c:pt>
                <c:pt idx="1">
                  <c:v>15000</c:v>
                </c:pt>
                <c:pt idx="2">
                  <c:v>10000</c:v>
                </c:pt>
                <c:pt idx="3">
                  <c:v>0</c:v>
                </c:pt>
                <c:pt idx="4">
                  <c:v>45000</c:v>
                </c:pt>
                <c:pt idx="5">
                  <c:v>45000</c:v>
                </c:pt>
                <c:pt idx="6">
                  <c:v>60000</c:v>
                </c:pt>
                <c:pt idx="7">
                  <c:v>20000</c:v>
                </c:pt>
              </c:numCache>
            </c:numRef>
          </c:val>
          <c:extLst>
            <c:ext xmlns:c16="http://schemas.microsoft.com/office/drawing/2014/chart" uri="{C3380CC4-5D6E-409C-BE32-E72D297353CC}">
              <c16:uniqueId val="{00000000-B813-49CE-B25B-5D85F7E07EE9}"/>
            </c:ext>
          </c:extLst>
        </c:ser>
        <c:ser>
          <c:idx val="1"/>
          <c:order val="1"/>
          <c:tx>
            <c:strRef>
              <c:f>Mittelwerte!$C$28</c:f>
              <c:strCache>
                <c:ptCount val="1"/>
                <c:pt idx="0">
                  <c:v>Freiland</c:v>
                </c:pt>
              </c:strCache>
            </c:strRef>
          </c:tx>
          <c:invertIfNegative val="0"/>
          <c:cat>
            <c:numRef>
              <c:f>Mittelwerte!$A$29:$A$36</c:f>
              <c:numCache>
                <c:formatCode>General</c:formatCode>
                <c:ptCount val="8"/>
                <c:pt idx="0">
                  <c:v>1</c:v>
                </c:pt>
                <c:pt idx="1">
                  <c:v>2</c:v>
                </c:pt>
                <c:pt idx="2">
                  <c:v>3</c:v>
                </c:pt>
                <c:pt idx="3">
                  <c:v>4</c:v>
                </c:pt>
                <c:pt idx="4">
                  <c:v>5</c:v>
                </c:pt>
                <c:pt idx="5">
                  <c:v>6</c:v>
                </c:pt>
                <c:pt idx="6">
                  <c:v>7</c:v>
                </c:pt>
                <c:pt idx="7">
                  <c:v>8</c:v>
                </c:pt>
              </c:numCache>
            </c:numRef>
          </c:cat>
          <c:val>
            <c:numRef>
              <c:f>Mittelwerte!$C$29:$C$36</c:f>
              <c:numCache>
                <c:formatCode>General</c:formatCode>
                <c:ptCount val="8"/>
                <c:pt idx="0" formatCode="0">
                  <c:v>15518.75</c:v>
                </c:pt>
                <c:pt idx="1">
                  <c:v>10050</c:v>
                </c:pt>
                <c:pt idx="2" formatCode="0">
                  <c:v>1868.75</c:v>
                </c:pt>
                <c:pt idx="3" formatCode="0">
                  <c:v>731.25</c:v>
                </c:pt>
                <c:pt idx="4" formatCode="0">
                  <c:v>12362.5</c:v>
                </c:pt>
                <c:pt idx="5" formatCode="0">
                  <c:v>8387.5</c:v>
                </c:pt>
                <c:pt idx="6" formatCode="0">
                  <c:v>9221.4285714285688</c:v>
                </c:pt>
                <c:pt idx="7">
                  <c:v>550</c:v>
                </c:pt>
              </c:numCache>
            </c:numRef>
          </c:val>
          <c:extLst>
            <c:ext xmlns:c16="http://schemas.microsoft.com/office/drawing/2014/chart" uri="{C3380CC4-5D6E-409C-BE32-E72D297353CC}">
              <c16:uniqueId val="{00000001-B813-49CE-B25B-5D85F7E07EE9}"/>
            </c:ext>
          </c:extLst>
        </c:ser>
        <c:dLbls>
          <c:showLegendKey val="0"/>
          <c:showVal val="0"/>
          <c:showCatName val="0"/>
          <c:showSerName val="0"/>
          <c:showPercent val="0"/>
          <c:showBubbleSize val="0"/>
        </c:dLbls>
        <c:gapWidth val="150"/>
        <c:axId val="235880448"/>
        <c:axId val="236536192"/>
      </c:barChart>
      <c:catAx>
        <c:axId val="235880448"/>
        <c:scaling>
          <c:orientation val="minMax"/>
        </c:scaling>
        <c:delete val="0"/>
        <c:axPos val="b"/>
        <c:title>
          <c:tx>
            <c:rich>
              <a:bodyPr/>
              <a:lstStyle/>
              <a:p>
                <a:pPr>
                  <a:defRPr/>
                </a:pPr>
                <a:r>
                  <a:rPr lang="en-US"/>
                  <a:t>Varianten</a:t>
                </a:r>
              </a:p>
            </c:rich>
          </c:tx>
          <c:overlay val="0"/>
        </c:title>
        <c:numFmt formatCode="General" sourceLinked="1"/>
        <c:majorTickMark val="out"/>
        <c:minorTickMark val="none"/>
        <c:tickLblPos val="nextTo"/>
        <c:crossAx val="236536192"/>
        <c:crosses val="autoZero"/>
        <c:auto val="1"/>
        <c:lblAlgn val="ctr"/>
        <c:lblOffset val="100"/>
        <c:noMultiLvlLbl val="0"/>
      </c:catAx>
      <c:valAx>
        <c:axId val="236536192"/>
        <c:scaling>
          <c:orientation val="minMax"/>
        </c:scaling>
        <c:delete val="0"/>
        <c:axPos val="l"/>
        <c:majorGridlines/>
        <c:title>
          <c:tx>
            <c:rich>
              <a:bodyPr rot="-5400000" vert="horz"/>
              <a:lstStyle/>
              <a:p>
                <a:pPr>
                  <a:defRPr/>
                </a:pPr>
                <a:r>
                  <a:rPr lang="en-US"/>
                  <a:t>KBE pro Gramm Erde (MW)</a:t>
                </a:r>
              </a:p>
            </c:rich>
          </c:tx>
          <c:layout>
            <c:manualLayout>
              <c:xMode val="edge"/>
              <c:yMode val="edge"/>
              <c:x val="3.56420741884882E-2"/>
              <c:y val="9.7357204089408206E-2"/>
            </c:manualLayout>
          </c:layout>
          <c:overlay val="0"/>
        </c:title>
        <c:numFmt formatCode="General" sourceLinked="1"/>
        <c:majorTickMark val="out"/>
        <c:minorTickMark val="none"/>
        <c:tickLblPos val="nextTo"/>
        <c:crossAx val="235880448"/>
        <c:crosses val="autoZero"/>
        <c:crossBetween val="between"/>
      </c:valAx>
    </c:plotArea>
    <c:legend>
      <c:legendPos val="r"/>
      <c:layout>
        <c:manualLayout>
          <c:xMode val="edge"/>
          <c:yMode val="edge"/>
          <c:x val="0.82020108728225605"/>
          <c:y val="0.41483247569590498"/>
          <c:w val="0.13986835886799201"/>
          <c:h val="0.18051522215108601"/>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de-AT" sz="1200" b="1" i="0" baseline="0"/>
              <a:t>Methodenvergleich Nematodennachweis April 2017</a:t>
            </a:r>
            <a:endParaRPr lang="de-AT" sz="1200"/>
          </a:p>
        </c:rich>
      </c:tx>
      <c:overlay val="0"/>
    </c:title>
    <c:autoTitleDeleted val="0"/>
    <c:view3D>
      <c:rotX val="15"/>
      <c:rotY val="20"/>
      <c:rAngAx val="0"/>
    </c:view3D>
    <c:floor>
      <c:thickness val="0"/>
    </c:floor>
    <c:sideWall>
      <c:thickness val="0"/>
    </c:sideWall>
    <c:backWall>
      <c:thickness val="0"/>
    </c:backWall>
    <c:plotArea>
      <c:layout>
        <c:manualLayout>
          <c:layoutTarget val="inner"/>
          <c:xMode val="edge"/>
          <c:yMode val="edge"/>
          <c:x val="0.11685311584310791"/>
          <c:y val="0.1956680440555994"/>
          <c:w val="0.69501569442391464"/>
          <c:h val="0.49876160074739334"/>
        </c:manualLayout>
      </c:layout>
      <c:bar3DChart>
        <c:barDir val="col"/>
        <c:grouping val="standard"/>
        <c:varyColors val="0"/>
        <c:ser>
          <c:idx val="0"/>
          <c:order val="0"/>
          <c:tx>
            <c:strRef>
              <c:f>'Methodenvergleich 2017'!$X$5</c:f>
              <c:strCache>
                <c:ptCount val="1"/>
                <c:pt idx="0">
                  <c:v>Mortalität durch Nematoden Dosenversuch</c:v>
                </c:pt>
              </c:strCache>
            </c:strRef>
          </c:tx>
          <c:spPr>
            <a:solidFill>
              <a:sysClr val="windowText" lastClr="000000">
                <a:lumMod val="50000"/>
                <a:lumOff val="50000"/>
              </a:sysClr>
            </a:solidFill>
          </c:spPr>
          <c:invertIfNegative val="0"/>
          <c:cat>
            <c:strRef>
              <c:f>'Methodenvergleich 2017'!$W$6:$W$21</c:f>
              <c:strCache>
                <c:ptCount val="16"/>
                <c:pt idx="0">
                  <c:v>Schwarza V</c:v>
                </c:pt>
                <c:pt idx="1">
                  <c:v>Schwarza V UK</c:v>
                </c:pt>
                <c:pt idx="3">
                  <c:v>Lichendorf V</c:v>
                </c:pt>
                <c:pt idx="4">
                  <c:v>Lichendorf V UK</c:v>
                </c:pt>
                <c:pt idx="6">
                  <c:v>Gersdorf</c:v>
                </c:pt>
                <c:pt idx="7">
                  <c:v>Schwarza 1</c:v>
                </c:pt>
                <c:pt idx="8">
                  <c:v>Lichendorf 3</c:v>
                </c:pt>
                <c:pt idx="9">
                  <c:v>Lichendorf 1</c:v>
                </c:pt>
                <c:pt idx="10">
                  <c:v>Lichendorf 2</c:v>
                </c:pt>
                <c:pt idx="11">
                  <c:v>Lichendorf 4</c:v>
                </c:pt>
                <c:pt idx="12">
                  <c:v>Schwarza 3</c:v>
                </c:pt>
                <c:pt idx="13">
                  <c:v>Schwarza 4</c:v>
                </c:pt>
                <c:pt idx="14">
                  <c:v>Schwarza 2</c:v>
                </c:pt>
                <c:pt idx="15">
                  <c:v>Presstopfsubstrat</c:v>
                </c:pt>
              </c:strCache>
            </c:strRef>
          </c:cat>
          <c:val>
            <c:numRef>
              <c:f>'Methodenvergleich 2017'!$X$6:$X$21</c:f>
              <c:numCache>
                <c:formatCode>0.00</c:formatCode>
                <c:ptCount val="16"/>
                <c:pt idx="0">
                  <c:v>44.090909090909093</c:v>
                </c:pt>
                <c:pt idx="1">
                  <c:v>4</c:v>
                </c:pt>
                <c:pt idx="3">
                  <c:v>90</c:v>
                </c:pt>
                <c:pt idx="4">
                  <c:v>29.696969696969699</c:v>
                </c:pt>
                <c:pt idx="6">
                  <c:v>89.629629629629633</c:v>
                </c:pt>
                <c:pt idx="7">
                  <c:v>92.222222222222229</c:v>
                </c:pt>
                <c:pt idx="8">
                  <c:v>56.666666666666664</c:v>
                </c:pt>
                <c:pt idx="9">
                  <c:v>88.299663299663294</c:v>
                </c:pt>
                <c:pt idx="10">
                  <c:v>76.666666666666671</c:v>
                </c:pt>
                <c:pt idx="11">
                  <c:v>25.185185185185187</c:v>
                </c:pt>
                <c:pt idx="12">
                  <c:v>73.148148148148152</c:v>
                </c:pt>
                <c:pt idx="13">
                  <c:v>76.818181818181827</c:v>
                </c:pt>
                <c:pt idx="14">
                  <c:v>57.407407407407412</c:v>
                </c:pt>
                <c:pt idx="15">
                  <c:v>0</c:v>
                </c:pt>
              </c:numCache>
            </c:numRef>
          </c:val>
          <c:extLst>
            <c:ext xmlns:c16="http://schemas.microsoft.com/office/drawing/2014/chart" uri="{C3380CC4-5D6E-409C-BE32-E72D297353CC}">
              <c16:uniqueId val="{00000000-590C-4AA7-987F-5A796A9FA3BA}"/>
            </c:ext>
          </c:extLst>
        </c:ser>
        <c:ser>
          <c:idx val="1"/>
          <c:order val="1"/>
          <c:tx>
            <c:strRef>
              <c:f>'Methodenvergleich 2017'!$AA$5</c:f>
              <c:strCache>
                <c:ptCount val="1"/>
                <c:pt idx="0">
                  <c:v>Mortalität durch Nematoden Falcon Tubes</c:v>
                </c:pt>
              </c:strCache>
            </c:strRef>
          </c:tx>
          <c:invertIfNegative val="0"/>
          <c:cat>
            <c:strRef>
              <c:f>'Methodenvergleich 2017'!$W$6:$W$21</c:f>
              <c:strCache>
                <c:ptCount val="16"/>
                <c:pt idx="0">
                  <c:v>Schwarza V</c:v>
                </c:pt>
                <c:pt idx="1">
                  <c:v>Schwarza V UK</c:v>
                </c:pt>
                <c:pt idx="3">
                  <c:v>Lichendorf V</c:v>
                </c:pt>
                <c:pt idx="4">
                  <c:v>Lichendorf V UK</c:v>
                </c:pt>
                <c:pt idx="6">
                  <c:v>Gersdorf</c:v>
                </c:pt>
                <c:pt idx="7">
                  <c:v>Schwarza 1</c:v>
                </c:pt>
                <c:pt idx="8">
                  <c:v>Lichendorf 3</c:v>
                </c:pt>
                <c:pt idx="9">
                  <c:v>Lichendorf 1</c:v>
                </c:pt>
                <c:pt idx="10">
                  <c:v>Lichendorf 2</c:v>
                </c:pt>
                <c:pt idx="11">
                  <c:v>Lichendorf 4</c:v>
                </c:pt>
                <c:pt idx="12">
                  <c:v>Schwarza 3</c:v>
                </c:pt>
                <c:pt idx="13">
                  <c:v>Schwarza 4</c:v>
                </c:pt>
                <c:pt idx="14">
                  <c:v>Schwarza 2</c:v>
                </c:pt>
                <c:pt idx="15">
                  <c:v>Presstopfsubstrat</c:v>
                </c:pt>
              </c:strCache>
            </c:strRef>
          </c:cat>
          <c:val>
            <c:numRef>
              <c:f>'Methodenvergleich 2017'!$AA$6:$AA$21</c:f>
              <c:numCache>
                <c:formatCode>0.00</c:formatCode>
                <c:ptCount val="16"/>
                <c:pt idx="0">
                  <c:v>5.1851851851851851</c:v>
                </c:pt>
                <c:pt idx="1">
                  <c:v>0</c:v>
                </c:pt>
                <c:pt idx="3">
                  <c:v>10.555555555555555</c:v>
                </c:pt>
                <c:pt idx="4">
                  <c:v>0</c:v>
                </c:pt>
                <c:pt idx="6">
                  <c:v>7.0707070707070701</c:v>
                </c:pt>
                <c:pt idx="7">
                  <c:v>8.3333333333333339</c:v>
                </c:pt>
                <c:pt idx="8">
                  <c:v>11.515151515151516</c:v>
                </c:pt>
                <c:pt idx="9">
                  <c:v>0</c:v>
                </c:pt>
                <c:pt idx="10">
                  <c:v>1.6666666666666667</c:v>
                </c:pt>
                <c:pt idx="11">
                  <c:v>10</c:v>
                </c:pt>
                <c:pt idx="12">
                  <c:v>5.3703703703703702</c:v>
                </c:pt>
                <c:pt idx="13">
                  <c:v>6.8518518518518521</c:v>
                </c:pt>
                <c:pt idx="14">
                  <c:v>10</c:v>
                </c:pt>
                <c:pt idx="15">
                  <c:v>0</c:v>
                </c:pt>
              </c:numCache>
            </c:numRef>
          </c:val>
          <c:extLst>
            <c:ext xmlns:c16="http://schemas.microsoft.com/office/drawing/2014/chart" uri="{C3380CC4-5D6E-409C-BE32-E72D297353CC}">
              <c16:uniqueId val="{00000001-590C-4AA7-987F-5A796A9FA3BA}"/>
            </c:ext>
          </c:extLst>
        </c:ser>
        <c:dLbls>
          <c:showLegendKey val="0"/>
          <c:showVal val="0"/>
          <c:showCatName val="0"/>
          <c:showSerName val="0"/>
          <c:showPercent val="0"/>
          <c:showBubbleSize val="0"/>
        </c:dLbls>
        <c:gapWidth val="75"/>
        <c:shape val="box"/>
        <c:axId val="101681408"/>
        <c:axId val="101691392"/>
        <c:axId val="34340864"/>
      </c:bar3DChart>
      <c:catAx>
        <c:axId val="101681408"/>
        <c:scaling>
          <c:orientation val="minMax"/>
        </c:scaling>
        <c:delete val="0"/>
        <c:axPos val="b"/>
        <c:numFmt formatCode="General" sourceLinked="0"/>
        <c:majorTickMark val="none"/>
        <c:minorTickMark val="none"/>
        <c:tickLblPos val="nextTo"/>
        <c:crossAx val="101691392"/>
        <c:crosses val="autoZero"/>
        <c:auto val="1"/>
        <c:lblAlgn val="ctr"/>
        <c:lblOffset val="100"/>
        <c:noMultiLvlLbl val="0"/>
      </c:catAx>
      <c:valAx>
        <c:axId val="101691392"/>
        <c:scaling>
          <c:orientation val="minMax"/>
        </c:scaling>
        <c:delete val="0"/>
        <c:axPos val="l"/>
        <c:majorGridlines/>
        <c:title>
          <c:tx>
            <c:rich>
              <a:bodyPr rot="-5400000" vert="horz"/>
              <a:lstStyle/>
              <a:p>
                <a:pPr>
                  <a:defRPr/>
                </a:pPr>
                <a:r>
                  <a:rPr lang="de-AT"/>
                  <a:t>Mortalität durch Nematoden in  %</a:t>
                </a:r>
              </a:p>
            </c:rich>
          </c:tx>
          <c:layout>
            <c:manualLayout>
              <c:xMode val="edge"/>
              <c:yMode val="edge"/>
              <c:x val="4.3643540940274238E-3"/>
              <c:y val="0.18696369727441714"/>
            </c:manualLayout>
          </c:layout>
          <c:overlay val="0"/>
        </c:title>
        <c:numFmt formatCode="0.00" sourceLinked="1"/>
        <c:majorTickMark val="none"/>
        <c:minorTickMark val="none"/>
        <c:tickLblPos val="nextTo"/>
        <c:spPr>
          <a:ln w="9525">
            <a:noFill/>
          </a:ln>
        </c:spPr>
        <c:crossAx val="101681408"/>
        <c:crosses val="autoZero"/>
        <c:crossBetween val="between"/>
      </c:valAx>
      <c:serAx>
        <c:axId val="34340864"/>
        <c:scaling>
          <c:orientation val="minMax"/>
        </c:scaling>
        <c:delete val="1"/>
        <c:axPos val="b"/>
        <c:majorTickMark val="out"/>
        <c:minorTickMark val="none"/>
        <c:tickLblPos val="none"/>
        <c:crossAx val="101691392"/>
        <c:crosses val="autoZero"/>
      </c:serAx>
    </c:plotArea>
    <c:legend>
      <c:legendPos val="r"/>
      <c:legendEntry>
        <c:idx val="0"/>
        <c:txPr>
          <a:bodyPr/>
          <a:lstStyle/>
          <a:p>
            <a:pPr>
              <a:defRPr sz="800"/>
            </a:pPr>
            <a:endParaRPr lang="de-DE"/>
          </a:p>
        </c:txPr>
      </c:legendEntry>
      <c:legendEntry>
        <c:idx val="1"/>
        <c:txPr>
          <a:bodyPr/>
          <a:lstStyle/>
          <a:p>
            <a:pPr>
              <a:defRPr sz="800"/>
            </a:pPr>
            <a:endParaRPr lang="de-DE"/>
          </a:p>
        </c:txPr>
      </c:legendEntry>
      <c:layout>
        <c:manualLayout>
          <c:xMode val="edge"/>
          <c:yMode val="edge"/>
          <c:x val="0.83899035797221078"/>
          <c:y val="0.20556157525384444"/>
          <c:w val="0.12460955531677273"/>
          <c:h val="0.66544127726939051"/>
        </c:manualLayout>
      </c:layout>
      <c:overlay val="0"/>
    </c:legend>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8116944515608599"/>
          <c:y val="5.5960280670561302E-2"/>
          <c:w val="0.62775091509344805"/>
          <c:h val="0.74112222502582803"/>
        </c:manualLayout>
      </c:layout>
      <c:barChart>
        <c:barDir val="col"/>
        <c:grouping val="clustered"/>
        <c:varyColors val="0"/>
        <c:ser>
          <c:idx val="0"/>
          <c:order val="0"/>
          <c:tx>
            <c:strRef>
              <c:f>Mittelwerte!$F$28</c:f>
              <c:strCache>
                <c:ptCount val="1"/>
                <c:pt idx="0">
                  <c:v>Labor 7°C</c:v>
                </c:pt>
              </c:strCache>
            </c:strRef>
          </c:tx>
          <c:invertIfNegative val="0"/>
          <c:cat>
            <c:numRef>
              <c:f>Mittelwerte!$A$29:$A$36</c:f>
              <c:numCache>
                <c:formatCode>General</c:formatCode>
                <c:ptCount val="8"/>
                <c:pt idx="0">
                  <c:v>1</c:v>
                </c:pt>
                <c:pt idx="1">
                  <c:v>2</c:v>
                </c:pt>
                <c:pt idx="2">
                  <c:v>3</c:v>
                </c:pt>
                <c:pt idx="3">
                  <c:v>4</c:v>
                </c:pt>
                <c:pt idx="4">
                  <c:v>5</c:v>
                </c:pt>
                <c:pt idx="5">
                  <c:v>6</c:v>
                </c:pt>
                <c:pt idx="6">
                  <c:v>7</c:v>
                </c:pt>
                <c:pt idx="7">
                  <c:v>8</c:v>
                </c:pt>
              </c:numCache>
            </c:numRef>
          </c:cat>
          <c:val>
            <c:numRef>
              <c:f>Mittelwerte!$F$29:$F$36</c:f>
              <c:numCache>
                <c:formatCode>0</c:formatCode>
                <c:ptCount val="8"/>
                <c:pt idx="0">
                  <c:v>2433.3333333333371</c:v>
                </c:pt>
                <c:pt idx="1">
                  <c:v>7808.3333333333294</c:v>
                </c:pt>
                <c:pt idx="2">
                  <c:v>958.85416666666674</c:v>
                </c:pt>
                <c:pt idx="3">
                  <c:v>169.7916666666666</c:v>
                </c:pt>
                <c:pt idx="4">
                  <c:v>2745.8333333333371</c:v>
                </c:pt>
                <c:pt idx="5">
                  <c:v>6390.625</c:v>
                </c:pt>
                <c:pt idx="6">
                  <c:v>2401.041666666667</c:v>
                </c:pt>
                <c:pt idx="7">
                  <c:v>337.5</c:v>
                </c:pt>
              </c:numCache>
            </c:numRef>
          </c:val>
          <c:extLst>
            <c:ext xmlns:c16="http://schemas.microsoft.com/office/drawing/2014/chart" uri="{C3380CC4-5D6E-409C-BE32-E72D297353CC}">
              <c16:uniqueId val="{00000000-75FF-4FE3-807A-87D7FDF4DA50}"/>
            </c:ext>
          </c:extLst>
        </c:ser>
        <c:ser>
          <c:idx val="1"/>
          <c:order val="1"/>
          <c:tx>
            <c:strRef>
              <c:f>Mittelwerte!$G$28</c:f>
              <c:strCache>
                <c:ptCount val="1"/>
                <c:pt idx="0">
                  <c:v>Freiland</c:v>
                </c:pt>
              </c:strCache>
            </c:strRef>
          </c:tx>
          <c:invertIfNegative val="0"/>
          <c:cat>
            <c:numRef>
              <c:f>Mittelwerte!$A$29:$A$36</c:f>
              <c:numCache>
                <c:formatCode>General</c:formatCode>
                <c:ptCount val="8"/>
                <c:pt idx="0">
                  <c:v>1</c:v>
                </c:pt>
                <c:pt idx="1">
                  <c:v>2</c:v>
                </c:pt>
                <c:pt idx="2">
                  <c:v>3</c:v>
                </c:pt>
                <c:pt idx="3">
                  <c:v>4</c:v>
                </c:pt>
                <c:pt idx="4">
                  <c:v>5</c:v>
                </c:pt>
                <c:pt idx="5">
                  <c:v>6</c:v>
                </c:pt>
                <c:pt idx="6">
                  <c:v>7</c:v>
                </c:pt>
                <c:pt idx="7">
                  <c:v>8</c:v>
                </c:pt>
              </c:numCache>
            </c:numRef>
          </c:cat>
          <c:val>
            <c:numRef>
              <c:f>Mittelwerte!$G$29:$G$36</c:f>
              <c:numCache>
                <c:formatCode>0</c:formatCode>
                <c:ptCount val="8"/>
                <c:pt idx="0">
                  <c:v>14791.66666666667</c:v>
                </c:pt>
                <c:pt idx="1">
                  <c:v>36458.333333333328</c:v>
                </c:pt>
                <c:pt idx="2">
                  <c:v>23125</c:v>
                </c:pt>
                <c:pt idx="3">
                  <c:v>0</c:v>
                </c:pt>
                <c:pt idx="4">
                  <c:v>1145.833333333333</c:v>
                </c:pt>
                <c:pt idx="5">
                  <c:v>24761.904761880949</c:v>
                </c:pt>
                <c:pt idx="6">
                  <c:v>25</c:v>
                </c:pt>
                <c:pt idx="7">
                  <c:v>8749.9999995833186</c:v>
                </c:pt>
              </c:numCache>
            </c:numRef>
          </c:val>
          <c:extLst>
            <c:ext xmlns:c16="http://schemas.microsoft.com/office/drawing/2014/chart" uri="{C3380CC4-5D6E-409C-BE32-E72D297353CC}">
              <c16:uniqueId val="{00000001-75FF-4FE3-807A-87D7FDF4DA50}"/>
            </c:ext>
          </c:extLst>
        </c:ser>
        <c:dLbls>
          <c:showLegendKey val="0"/>
          <c:showVal val="0"/>
          <c:showCatName val="0"/>
          <c:showSerName val="0"/>
          <c:showPercent val="0"/>
          <c:showBubbleSize val="0"/>
        </c:dLbls>
        <c:gapWidth val="150"/>
        <c:axId val="241998080"/>
        <c:axId val="245162368"/>
      </c:barChart>
      <c:catAx>
        <c:axId val="241998080"/>
        <c:scaling>
          <c:orientation val="minMax"/>
        </c:scaling>
        <c:delete val="0"/>
        <c:axPos val="b"/>
        <c:title>
          <c:tx>
            <c:rich>
              <a:bodyPr/>
              <a:lstStyle/>
              <a:p>
                <a:pPr>
                  <a:defRPr/>
                </a:pPr>
                <a:r>
                  <a:rPr lang="en-US"/>
                  <a:t>Varianten</a:t>
                </a:r>
              </a:p>
            </c:rich>
          </c:tx>
          <c:layout>
            <c:manualLayout>
              <c:xMode val="edge"/>
              <c:yMode val="edge"/>
              <c:x val="0.43358067220542701"/>
              <c:y val="0.89842876873253696"/>
            </c:manualLayout>
          </c:layout>
          <c:overlay val="0"/>
        </c:title>
        <c:numFmt formatCode="General" sourceLinked="1"/>
        <c:majorTickMark val="none"/>
        <c:minorTickMark val="none"/>
        <c:tickLblPos val="nextTo"/>
        <c:crossAx val="245162368"/>
        <c:crosses val="autoZero"/>
        <c:auto val="1"/>
        <c:lblAlgn val="ctr"/>
        <c:lblOffset val="100"/>
        <c:noMultiLvlLbl val="0"/>
      </c:catAx>
      <c:valAx>
        <c:axId val="245162368"/>
        <c:scaling>
          <c:orientation val="minMax"/>
        </c:scaling>
        <c:delete val="0"/>
        <c:axPos val="l"/>
        <c:majorGridlines/>
        <c:title>
          <c:tx>
            <c:rich>
              <a:bodyPr rot="-5400000" vert="horz"/>
              <a:lstStyle/>
              <a:p>
                <a:pPr>
                  <a:defRPr/>
                </a:pPr>
                <a:r>
                  <a:rPr lang="en-US"/>
                  <a:t>KBE pro Gramm Erde (MW)</a:t>
                </a:r>
              </a:p>
            </c:rich>
          </c:tx>
          <c:layout>
            <c:manualLayout>
              <c:xMode val="edge"/>
              <c:yMode val="edge"/>
              <c:x val="4.1759712917025398E-2"/>
              <c:y val="0.10587931800863599"/>
            </c:manualLayout>
          </c:layout>
          <c:overlay val="0"/>
        </c:title>
        <c:numFmt formatCode="0" sourceLinked="1"/>
        <c:majorTickMark val="out"/>
        <c:minorTickMark val="none"/>
        <c:tickLblPos val="nextTo"/>
        <c:crossAx val="241998080"/>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Käferschlupf</a:t>
            </a:r>
            <a:r>
              <a:rPr lang="en-US" baseline="0"/>
              <a:t> aus Kübel-Photoeklektoren</a:t>
            </a:r>
          </a:p>
          <a:p>
            <a:pPr>
              <a:defRPr sz="1400" b="0" i="0" u="none" strike="noStrike" kern="1200" spc="0" baseline="0">
                <a:solidFill>
                  <a:schemeClr val="tx1">
                    <a:lumMod val="65000"/>
                    <a:lumOff val="35000"/>
                  </a:schemeClr>
                </a:solidFill>
                <a:latin typeface="+mn-lt"/>
                <a:ea typeface="+mn-ea"/>
                <a:cs typeface="+mn-cs"/>
              </a:defRPr>
            </a:pPr>
            <a:r>
              <a:rPr lang="en-US" baseline="0"/>
              <a:t>n=6 </a:t>
            </a:r>
            <a:endParaRPr lang="en-US"/>
          </a:p>
        </c:rich>
      </c:tx>
      <c:overlay val="0"/>
      <c:spPr>
        <a:noFill/>
        <a:ln>
          <a:noFill/>
        </a:ln>
        <a:effectLst/>
      </c:spPr>
    </c:title>
    <c:autoTitleDeleted val="0"/>
    <c:plotArea>
      <c:layout/>
      <c:barChart>
        <c:barDir val="col"/>
        <c:grouping val="clustered"/>
        <c:varyColors val="0"/>
        <c:ser>
          <c:idx val="6"/>
          <c:order val="0"/>
          <c:tx>
            <c:strRef>
              <c:f>'2016_1'!$B$26</c:f>
              <c:strCache>
                <c:ptCount val="1"/>
                <c:pt idx="0">
                  <c:v>Mittelwert</c:v>
                </c:pt>
              </c:strCache>
            </c:strRef>
          </c:tx>
          <c:spPr>
            <a:solidFill>
              <a:schemeClr val="accent1">
                <a:lumMod val="60000"/>
              </a:schemeClr>
            </a:solidFill>
            <a:ln>
              <a:noFill/>
            </a:ln>
            <a:effectLst/>
          </c:spPr>
          <c:invertIfNegative val="0"/>
          <c:errBars>
            <c:errBarType val="both"/>
            <c:errValType val="cust"/>
            <c:noEndCap val="0"/>
            <c:plus>
              <c:numRef>
                <c:f>'2016_1'!$C$27:$F$27</c:f>
                <c:numCache>
                  <c:formatCode>General</c:formatCode>
                  <c:ptCount val="4"/>
                  <c:pt idx="0">
                    <c:v>5.7850381733111043</c:v>
                  </c:pt>
                  <c:pt idx="1">
                    <c:v>9.41629792788369</c:v>
                  </c:pt>
                  <c:pt idx="2">
                    <c:v>12.4056438768812</c:v>
                  </c:pt>
                  <c:pt idx="3">
                    <c:v>7.2387844283415426</c:v>
                  </c:pt>
                </c:numCache>
              </c:numRef>
            </c:plus>
            <c:minus>
              <c:numRef>
                <c:f>'2016_1'!$C$27:$F$27</c:f>
                <c:numCache>
                  <c:formatCode>General</c:formatCode>
                  <c:ptCount val="4"/>
                  <c:pt idx="0">
                    <c:v>5.7850381733111043</c:v>
                  </c:pt>
                  <c:pt idx="1">
                    <c:v>9.41629792788369</c:v>
                  </c:pt>
                  <c:pt idx="2">
                    <c:v>12.4056438768812</c:v>
                  </c:pt>
                  <c:pt idx="3">
                    <c:v>7.2387844283415426</c:v>
                  </c:pt>
                </c:numCache>
              </c:numRef>
            </c:minus>
            <c:spPr>
              <a:noFill/>
              <a:ln w="9525" cap="flat" cmpd="sng" algn="ctr">
                <a:solidFill>
                  <a:schemeClr val="tx1">
                    <a:lumMod val="65000"/>
                    <a:lumOff val="35000"/>
                  </a:schemeClr>
                </a:solidFill>
                <a:round/>
              </a:ln>
              <a:effectLst/>
            </c:spPr>
          </c:errBars>
          <c:cat>
            <c:strRef>
              <c:f>'2016_1'!$C$19:$F$19</c:f>
              <c:strCache>
                <c:ptCount val="4"/>
                <c:pt idx="0">
                  <c:v>Dianem</c:v>
                </c:pt>
                <c:pt idx="1">
                  <c:v>Dianem  + Rhizovital</c:v>
                </c:pt>
                <c:pt idx="2">
                  <c:v>Unbehandelte Kontrolle</c:v>
                </c:pt>
                <c:pt idx="3">
                  <c:v>Belem 0,8  MG</c:v>
                </c:pt>
              </c:strCache>
            </c:strRef>
          </c:cat>
          <c:val>
            <c:numRef>
              <c:f>'2016_1'!$C$26:$F$26</c:f>
              <c:numCache>
                <c:formatCode>0.00</c:formatCode>
                <c:ptCount val="4"/>
                <c:pt idx="0">
                  <c:v>10.333333333333334</c:v>
                </c:pt>
                <c:pt idx="1">
                  <c:v>12.333333333333334</c:v>
                </c:pt>
                <c:pt idx="2">
                  <c:v>20.5</c:v>
                </c:pt>
                <c:pt idx="3">
                  <c:v>12</c:v>
                </c:pt>
              </c:numCache>
            </c:numRef>
          </c:val>
          <c:extLst>
            <c:ext xmlns:c16="http://schemas.microsoft.com/office/drawing/2014/chart" uri="{C3380CC4-5D6E-409C-BE32-E72D297353CC}">
              <c16:uniqueId val="{00000000-B958-4632-B250-DC8DF319D432}"/>
            </c:ext>
          </c:extLst>
        </c:ser>
        <c:dLbls>
          <c:showLegendKey val="0"/>
          <c:showVal val="0"/>
          <c:showCatName val="0"/>
          <c:showSerName val="0"/>
          <c:showPercent val="0"/>
          <c:showBubbleSize val="0"/>
        </c:dLbls>
        <c:gapWidth val="219"/>
        <c:overlap val="-27"/>
        <c:axId val="101706752"/>
        <c:axId val="101823232"/>
      </c:barChart>
      <c:catAx>
        <c:axId val="101706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1823232"/>
        <c:crosses val="autoZero"/>
        <c:auto val="1"/>
        <c:lblAlgn val="ctr"/>
        <c:lblOffset val="100"/>
        <c:noMultiLvlLbl val="0"/>
      </c:catAx>
      <c:valAx>
        <c:axId val="10182323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1706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effectLst/>
              </a:rPr>
              <a:t>Käferschlupf aus Folienzelt-Photoeklektoren</a:t>
            </a:r>
            <a:endParaRPr lang="de-AT" sz="1400">
              <a:effectLst/>
            </a:endParaRPr>
          </a:p>
          <a:p>
            <a:pPr>
              <a:defRPr sz="1400" b="0" i="0" u="none" strike="noStrike" kern="1200" spc="0" baseline="0">
                <a:solidFill>
                  <a:schemeClr val="tx1">
                    <a:lumMod val="65000"/>
                    <a:lumOff val="35000"/>
                  </a:schemeClr>
                </a:solidFill>
                <a:latin typeface="+mn-lt"/>
                <a:ea typeface="+mn-ea"/>
                <a:cs typeface="+mn-cs"/>
              </a:defRPr>
            </a:pPr>
            <a:r>
              <a:rPr lang="en-US" sz="1400" b="0" i="0" baseline="0">
                <a:effectLst/>
              </a:rPr>
              <a:t>n=6 </a:t>
            </a:r>
            <a:endParaRPr lang="de-AT" sz="1400">
              <a:effectLst/>
            </a:endParaRPr>
          </a:p>
        </c:rich>
      </c:tx>
      <c:overlay val="0"/>
      <c:spPr>
        <a:noFill/>
        <a:ln>
          <a:noFill/>
        </a:ln>
        <a:effectLst/>
      </c:spPr>
    </c:title>
    <c:autoTitleDeleted val="0"/>
    <c:plotArea>
      <c:layout/>
      <c:barChart>
        <c:barDir val="col"/>
        <c:grouping val="clustered"/>
        <c:varyColors val="0"/>
        <c:ser>
          <c:idx val="6"/>
          <c:order val="0"/>
          <c:tx>
            <c:strRef>
              <c:f>'2016_1'!$B$39</c:f>
              <c:strCache>
                <c:ptCount val="1"/>
                <c:pt idx="0">
                  <c:v>Mittelwert</c:v>
                </c:pt>
              </c:strCache>
            </c:strRef>
          </c:tx>
          <c:spPr>
            <a:solidFill>
              <a:schemeClr val="accent1">
                <a:lumMod val="60000"/>
              </a:schemeClr>
            </a:solidFill>
            <a:ln>
              <a:noFill/>
            </a:ln>
            <a:effectLst/>
          </c:spPr>
          <c:invertIfNegative val="0"/>
          <c:errBars>
            <c:errBarType val="both"/>
            <c:errValType val="cust"/>
            <c:noEndCap val="0"/>
            <c:plus>
              <c:numRef>
                <c:f>'2016_1'!$C$40:$D$40</c:f>
                <c:numCache>
                  <c:formatCode>General</c:formatCode>
                  <c:ptCount val="2"/>
                  <c:pt idx="0">
                    <c:v>5.1153364177409335</c:v>
                  </c:pt>
                  <c:pt idx="1">
                    <c:v>14.746751054610863</c:v>
                  </c:pt>
                </c:numCache>
              </c:numRef>
            </c:plus>
            <c:minus>
              <c:numRef>
                <c:f>'2016_1'!$C$40:$D$40</c:f>
                <c:numCache>
                  <c:formatCode>General</c:formatCode>
                  <c:ptCount val="2"/>
                  <c:pt idx="0">
                    <c:v>5.1153364177409335</c:v>
                  </c:pt>
                  <c:pt idx="1">
                    <c:v>14.746751054610863</c:v>
                  </c:pt>
                </c:numCache>
              </c:numRef>
            </c:minus>
            <c:spPr>
              <a:noFill/>
              <a:ln w="9525" cap="flat" cmpd="sng" algn="ctr">
                <a:solidFill>
                  <a:schemeClr val="tx1">
                    <a:lumMod val="65000"/>
                    <a:lumOff val="35000"/>
                  </a:schemeClr>
                </a:solidFill>
                <a:round/>
              </a:ln>
              <a:effectLst/>
            </c:spPr>
          </c:errBars>
          <c:cat>
            <c:strRef>
              <c:f>'2016_1'!$C$32:$D$32</c:f>
              <c:strCache>
                <c:ptCount val="2"/>
                <c:pt idx="0">
                  <c:v>Dianem  + Rhizovital</c:v>
                </c:pt>
                <c:pt idx="1">
                  <c:v>Unbehandelte Kontrolle</c:v>
                </c:pt>
              </c:strCache>
            </c:strRef>
          </c:cat>
          <c:val>
            <c:numRef>
              <c:f>'2016_1'!$C$39:$D$39</c:f>
              <c:numCache>
                <c:formatCode>0.00</c:formatCode>
                <c:ptCount val="2"/>
                <c:pt idx="0">
                  <c:v>17.166666666666668</c:v>
                </c:pt>
                <c:pt idx="1">
                  <c:v>27.666666666666668</c:v>
                </c:pt>
              </c:numCache>
            </c:numRef>
          </c:val>
          <c:extLst>
            <c:ext xmlns:c16="http://schemas.microsoft.com/office/drawing/2014/chart" uri="{C3380CC4-5D6E-409C-BE32-E72D297353CC}">
              <c16:uniqueId val="{00000000-B46A-448C-8978-F38C6508527A}"/>
            </c:ext>
          </c:extLst>
        </c:ser>
        <c:dLbls>
          <c:showLegendKey val="0"/>
          <c:showVal val="0"/>
          <c:showCatName val="0"/>
          <c:showSerName val="0"/>
          <c:showPercent val="0"/>
          <c:showBubbleSize val="0"/>
        </c:dLbls>
        <c:gapWidth val="219"/>
        <c:overlap val="-27"/>
        <c:axId val="105206912"/>
        <c:axId val="105208448"/>
      </c:barChart>
      <c:catAx>
        <c:axId val="105206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5208448"/>
        <c:crosses val="autoZero"/>
        <c:auto val="1"/>
        <c:lblAlgn val="ctr"/>
        <c:lblOffset val="100"/>
        <c:noMultiLvlLbl val="0"/>
      </c:catAx>
      <c:valAx>
        <c:axId val="1052084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5206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Käferfänge in PALs (Gelbtafeln) bis Ende des Hauptschlupfzeitraumes;</a:t>
            </a:r>
            <a:r>
              <a:rPr lang="en-US" baseline="0"/>
              <a:t> n=8</a:t>
            </a:r>
            <a:endParaRPr lang="en-US"/>
          </a:p>
        </c:rich>
      </c:tx>
      <c:overlay val="0"/>
      <c:spPr>
        <a:noFill/>
        <a:ln>
          <a:noFill/>
        </a:ln>
        <a:effectLst/>
      </c:spPr>
    </c:title>
    <c:autoTitleDeleted val="0"/>
    <c:plotArea>
      <c:layout/>
      <c:barChart>
        <c:barDir val="col"/>
        <c:grouping val="clustered"/>
        <c:varyColors val="0"/>
        <c:ser>
          <c:idx val="2"/>
          <c:order val="0"/>
          <c:tx>
            <c:strRef>
              <c:f>'2016_1'!$A$85</c:f>
              <c:strCache>
                <c:ptCount val="1"/>
                <c:pt idx="0">
                  <c:v>26.07.2016</c:v>
                </c:pt>
              </c:strCache>
            </c:strRef>
          </c:tx>
          <c:spPr>
            <a:solidFill>
              <a:schemeClr val="bg1"/>
            </a:solidFill>
            <a:ln>
              <a:solidFill>
                <a:schemeClr val="tx1"/>
              </a:solidFill>
            </a:ln>
            <a:effectLst/>
          </c:spPr>
          <c:invertIfNegative val="0"/>
          <c:errBars>
            <c:errBarType val="both"/>
            <c:errValType val="cust"/>
            <c:noEndCap val="0"/>
            <c:plus>
              <c:numRef>
                <c:f>'2016_1'!$B$86:$E$86</c:f>
                <c:numCache>
                  <c:formatCode>General</c:formatCode>
                  <c:ptCount val="4"/>
                  <c:pt idx="0">
                    <c:v>56.5</c:v>
                  </c:pt>
                  <c:pt idx="1">
                    <c:v>34.700000000000003</c:v>
                  </c:pt>
                  <c:pt idx="2">
                    <c:v>74.099999999999994</c:v>
                  </c:pt>
                  <c:pt idx="3">
                    <c:v>64.599999999999994</c:v>
                  </c:pt>
                </c:numCache>
              </c:numRef>
            </c:plus>
            <c:minus>
              <c:numRef>
                <c:f>'2016_1'!$B$86:$E$86</c:f>
                <c:numCache>
                  <c:formatCode>General</c:formatCode>
                  <c:ptCount val="4"/>
                  <c:pt idx="0">
                    <c:v>56.5</c:v>
                  </c:pt>
                  <c:pt idx="1">
                    <c:v>34.700000000000003</c:v>
                  </c:pt>
                  <c:pt idx="2">
                    <c:v>74.099999999999994</c:v>
                  </c:pt>
                  <c:pt idx="3">
                    <c:v>64.599999999999994</c:v>
                  </c:pt>
                </c:numCache>
              </c:numRef>
            </c:minus>
            <c:spPr>
              <a:noFill/>
              <a:ln w="9525" cap="flat" cmpd="sng" algn="ctr">
                <a:solidFill>
                  <a:schemeClr val="tx1">
                    <a:lumMod val="65000"/>
                    <a:lumOff val="35000"/>
                  </a:schemeClr>
                </a:solidFill>
                <a:round/>
              </a:ln>
              <a:effectLst/>
            </c:spPr>
          </c:errBars>
          <c:cat>
            <c:strRef>
              <c:f>'2016_1'!$B$81:$E$81</c:f>
              <c:strCache>
                <c:ptCount val="4"/>
                <c:pt idx="0">
                  <c:v>Dianem </c:v>
                </c:pt>
                <c:pt idx="1">
                  <c:v>Dianem + Rhizovital</c:v>
                </c:pt>
                <c:pt idx="2">
                  <c:v>Unbehandelte Kontrolle</c:v>
                </c:pt>
                <c:pt idx="3">
                  <c:v>Belem 0,8  MG</c:v>
                </c:pt>
              </c:strCache>
            </c:strRef>
          </c:cat>
          <c:val>
            <c:numRef>
              <c:f>'2016_1'!$B$85:$E$85</c:f>
              <c:numCache>
                <c:formatCode>General</c:formatCode>
                <c:ptCount val="4"/>
                <c:pt idx="0">
                  <c:v>281.10000000000002</c:v>
                </c:pt>
                <c:pt idx="1">
                  <c:v>218</c:v>
                </c:pt>
                <c:pt idx="2">
                  <c:v>326.8</c:v>
                </c:pt>
                <c:pt idx="3">
                  <c:v>291.5</c:v>
                </c:pt>
              </c:numCache>
            </c:numRef>
          </c:val>
          <c:extLst>
            <c:ext xmlns:c16="http://schemas.microsoft.com/office/drawing/2014/chart" uri="{C3380CC4-5D6E-409C-BE32-E72D297353CC}">
              <c16:uniqueId val="{00000000-7E4F-4F4F-A816-36BAD18DDA5E}"/>
            </c:ext>
          </c:extLst>
        </c:ser>
        <c:dLbls>
          <c:showLegendKey val="0"/>
          <c:showVal val="0"/>
          <c:showCatName val="0"/>
          <c:showSerName val="0"/>
          <c:showPercent val="0"/>
          <c:showBubbleSize val="0"/>
        </c:dLbls>
        <c:gapWidth val="219"/>
        <c:overlap val="-27"/>
        <c:axId val="105221120"/>
        <c:axId val="105227008"/>
      </c:barChart>
      <c:catAx>
        <c:axId val="105221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5227008"/>
        <c:crosses val="autoZero"/>
        <c:auto val="1"/>
        <c:lblAlgn val="ctr"/>
        <c:lblOffset val="100"/>
        <c:noMultiLvlLbl val="0"/>
      </c:catAx>
      <c:valAx>
        <c:axId val="105227008"/>
        <c:scaling>
          <c:orientation val="minMax"/>
          <c:max val="4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52211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effectLst/>
              </a:rPr>
              <a:t>Käferfänge in PAL (transparente Tafeln) bis Ende des Hauptschlupfzeitraumes; n=6</a:t>
            </a:r>
            <a:endParaRPr lang="de-AT" sz="1400">
              <a:effectLst/>
            </a:endParaRPr>
          </a:p>
        </c:rich>
      </c:tx>
      <c:overlay val="0"/>
      <c:spPr>
        <a:noFill/>
        <a:ln>
          <a:noFill/>
        </a:ln>
        <a:effectLst/>
      </c:spPr>
    </c:title>
    <c:autoTitleDeleted val="0"/>
    <c:plotArea>
      <c:layout>
        <c:manualLayout>
          <c:layoutTarget val="inner"/>
          <c:xMode val="edge"/>
          <c:yMode val="edge"/>
          <c:x val="0.15196809701112943"/>
          <c:y val="0.37798872363176828"/>
          <c:w val="0.87129396325459318"/>
          <c:h val="0.47448851300994782"/>
        </c:manualLayout>
      </c:layout>
      <c:barChart>
        <c:barDir val="col"/>
        <c:grouping val="clustered"/>
        <c:varyColors val="0"/>
        <c:ser>
          <c:idx val="0"/>
          <c:order val="0"/>
          <c:spPr>
            <a:solidFill>
              <a:schemeClr val="bg1"/>
            </a:solidFill>
            <a:ln>
              <a:solidFill>
                <a:schemeClr val="tx1"/>
              </a:solidFill>
            </a:ln>
            <a:effectLst/>
          </c:spPr>
          <c:invertIfNegative val="0"/>
          <c:errBars>
            <c:errBarType val="both"/>
            <c:errValType val="cust"/>
            <c:noEndCap val="0"/>
            <c:plus>
              <c:numRef>
                <c:f>'2016_1'!$C$100:$D$100</c:f>
                <c:numCache>
                  <c:formatCode>General</c:formatCode>
                  <c:ptCount val="2"/>
                  <c:pt idx="0">
                    <c:v>8.1649658092772679</c:v>
                  </c:pt>
                  <c:pt idx="1">
                    <c:v>34.314234169899038</c:v>
                  </c:pt>
                </c:numCache>
              </c:numRef>
            </c:plus>
            <c:minus>
              <c:numRef>
                <c:f>'2016_1'!$C$100:$D$100</c:f>
                <c:numCache>
                  <c:formatCode>General</c:formatCode>
                  <c:ptCount val="2"/>
                  <c:pt idx="0">
                    <c:v>8.1649658092772679</c:v>
                  </c:pt>
                  <c:pt idx="1">
                    <c:v>34.314234169899038</c:v>
                  </c:pt>
                </c:numCache>
              </c:numRef>
            </c:minus>
            <c:spPr>
              <a:noFill/>
              <a:ln w="9525" cap="flat" cmpd="sng" algn="ctr">
                <a:solidFill>
                  <a:schemeClr val="tx1">
                    <a:lumMod val="65000"/>
                    <a:lumOff val="35000"/>
                  </a:schemeClr>
                </a:solidFill>
                <a:round/>
              </a:ln>
              <a:effectLst/>
            </c:spPr>
          </c:errBars>
          <c:cat>
            <c:strRef>
              <c:f>'2016_1'!$C$98:$D$98</c:f>
              <c:strCache>
                <c:ptCount val="2"/>
                <c:pt idx="0">
                  <c:v>Dianem  + Rhizovital</c:v>
                </c:pt>
                <c:pt idx="1">
                  <c:v>Unbehandelte Kontrolle</c:v>
                </c:pt>
              </c:strCache>
            </c:strRef>
          </c:cat>
          <c:val>
            <c:numRef>
              <c:f>'2016_1'!$C$99:$D$99</c:f>
              <c:numCache>
                <c:formatCode>0.0</c:formatCode>
                <c:ptCount val="2"/>
                <c:pt idx="0">
                  <c:v>40.666666666666664</c:v>
                </c:pt>
                <c:pt idx="1">
                  <c:v>73.333333333333329</c:v>
                </c:pt>
              </c:numCache>
            </c:numRef>
          </c:val>
          <c:extLst>
            <c:ext xmlns:c16="http://schemas.microsoft.com/office/drawing/2014/chart" uri="{C3380CC4-5D6E-409C-BE32-E72D297353CC}">
              <c16:uniqueId val="{00000000-DD84-4B9E-89E3-BB586B7C633F}"/>
            </c:ext>
          </c:extLst>
        </c:ser>
        <c:dLbls>
          <c:showLegendKey val="0"/>
          <c:showVal val="0"/>
          <c:showCatName val="0"/>
          <c:showSerName val="0"/>
          <c:showPercent val="0"/>
          <c:showBubbleSize val="0"/>
        </c:dLbls>
        <c:gapWidth val="219"/>
        <c:overlap val="-27"/>
        <c:axId val="105247872"/>
        <c:axId val="105249408"/>
      </c:barChart>
      <c:catAx>
        <c:axId val="105247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5249408"/>
        <c:crosses val="autoZero"/>
        <c:auto val="1"/>
        <c:lblAlgn val="ctr"/>
        <c:lblOffset val="100"/>
        <c:noMultiLvlLbl val="0"/>
      </c:catAx>
      <c:valAx>
        <c:axId val="10524940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5247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Käferfänge in Trichterfallen</a:t>
            </a:r>
            <a:r>
              <a:rPr lang="en-US" baseline="0"/>
              <a:t> mit Leimring</a:t>
            </a:r>
          </a:p>
          <a:p>
            <a:pPr>
              <a:defRPr sz="1400" b="0" i="0" u="none" strike="noStrike" kern="1200" spc="0" baseline="0">
                <a:solidFill>
                  <a:schemeClr val="tx1">
                    <a:lumMod val="65000"/>
                    <a:lumOff val="35000"/>
                  </a:schemeClr>
                </a:solidFill>
                <a:latin typeface="+mn-lt"/>
                <a:ea typeface="+mn-ea"/>
                <a:cs typeface="+mn-cs"/>
              </a:defRPr>
            </a:pPr>
            <a:r>
              <a:rPr lang="en-US" baseline="0"/>
              <a:t>n=6 </a:t>
            </a:r>
            <a:endParaRPr lang="en-US"/>
          </a:p>
        </c:rich>
      </c:tx>
      <c:overlay val="0"/>
      <c:spPr>
        <a:noFill/>
        <a:ln>
          <a:noFill/>
        </a:ln>
        <a:effectLst/>
      </c:spPr>
    </c:title>
    <c:autoTitleDeleted val="0"/>
    <c:plotArea>
      <c:layout/>
      <c:barChart>
        <c:barDir val="col"/>
        <c:grouping val="clustered"/>
        <c:varyColors val="0"/>
        <c:ser>
          <c:idx val="0"/>
          <c:order val="0"/>
          <c:tx>
            <c:strRef>
              <c:f>'2016_2'!$C$9</c:f>
              <c:strCache>
                <c:ptCount val="1"/>
                <c:pt idx="0">
                  <c:v>Mittelwert</c:v>
                </c:pt>
              </c:strCache>
            </c:strRef>
          </c:tx>
          <c:spPr>
            <a:solidFill>
              <a:schemeClr val="bg1"/>
            </a:solidFill>
            <a:ln>
              <a:solidFill>
                <a:schemeClr val="tx1"/>
              </a:solidFill>
            </a:ln>
            <a:effectLst/>
          </c:spPr>
          <c:invertIfNegative val="0"/>
          <c:errBars>
            <c:errBarType val="both"/>
            <c:errValType val="cust"/>
            <c:noEndCap val="0"/>
            <c:plus>
              <c:numRef>
                <c:f>'2016_2'!$D$10:$E$10</c:f>
                <c:numCache>
                  <c:formatCode>General</c:formatCode>
                  <c:ptCount val="2"/>
                  <c:pt idx="0">
                    <c:v>3.271085446759225</c:v>
                  </c:pt>
                  <c:pt idx="1">
                    <c:v>3.9832984656772417</c:v>
                  </c:pt>
                </c:numCache>
              </c:numRef>
            </c:plus>
            <c:minus>
              <c:numRef>
                <c:f>'2016_2'!$D$10:$E$10</c:f>
                <c:numCache>
                  <c:formatCode>General</c:formatCode>
                  <c:ptCount val="2"/>
                  <c:pt idx="0">
                    <c:v>3.271085446759225</c:v>
                  </c:pt>
                  <c:pt idx="1">
                    <c:v>3.9832984656772417</c:v>
                  </c:pt>
                </c:numCache>
              </c:numRef>
            </c:minus>
            <c:spPr>
              <a:noFill/>
              <a:ln w="9525" cap="flat" cmpd="sng" algn="ctr">
                <a:solidFill>
                  <a:schemeClr val="tx1">
                    <a:lumMod val="65000"/>
                    <a:lumOff val="35000"/>
                  </a:schemeClr>
                </a:solidFill>
                <a:round/>
              </a:ln>
              <a:effectLst/>
            </c:spPr>
          </c:errBars>
          <c:cat>
            <c:strRef>
              <c:f>'2016_2'!$D$8:$E$8</c:f>
              <c:strCache>
                <c:ptCount val="2"/>
                <c:pt idx="0">
                  <c:v>Dianem  + Rhizovital</c:v>
                </c:pt>
                <c:pt idx="1">
                  <c:v>Unbehandelte Kontrolle</c:v>
                </c:pt>
              </c:strCache>
            </c:strRef>
          </c:cat>
          <c:val>
            <c:numRef>
              <c:f>'2016_2'!$D$9:$E$9</c:f>
              <c:numCache>
                <c:formatCode>0.0</c:formatCode>
                <c:ptCount val="2"/>
                <c:pt idx="0">
                  <c:v>6.5</c:v>
                </c:pt>
                <c:pt idx="1">
                  <c:v>6.333333333333333</c:v>
                </c:pt>
              </c:numCache>
            </c:numRef>
          </c:val>
          <c:extLst>
            <c:ext xmlns:c16="http://schemas.microsoft.com/office/drawing/2014/chart" uri="{C3380CC4-5D6E-409C-BE32-E72D297353CC}">
              <c16:uniqueId val="{00000000-CCB5-4EEA-8331-D4110191E6DE}"/>
            </c:ext>
          </c:extLst>
        </c:ser>
        <c:dLbls>
          <c:showLegendKey val="0"/>
          <c:showVal val="0"/>
          <c:showCatName val="0"/>
          <c:showSerName val="0"/>
          <c:showPercent val="0"/>
          <c:showBubbleSize val="0"/>
        </c:dLbls>
        <c:gapWidth val="219"/>
        <c:overlap val="-27"/>
        <c:axId val="107441152"/>
        <c:axId val="107447040"/>
      </c:barChart>
      <c:catAx>
        <c:axId val="107441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7447040"/>
        <c:crosses val="autoZero"/>
        <c:auto val="1"/>
        <c:lblAlgn val="ctr"/>
        <c:lblOffset val="100"/>
        <c:noMultiLvlLbl val="0"/>
      </c:catAx>
      <c:valAx>
        <c:axId val="10744704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7441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effectLst/>
              </a:rPr>
              <a:t>Käferfänge in Trichterfallen mit </a:t>
            </a:r>
            <a:r>
              <a:rPr lang="de-AT" sz="1400" b="0" i="0" baseline="0">
                <a:effectLst/>
              </a:rPr>
              <a:t>Insektizid</a:t>
            </a:r>
            <a:endParaRPr lang="de-AT" sz="1400">
              <a:effectLst/>
            </a:endParaRPr>
          </a:p>
          <a:p>
            <a:pPr>
              <a:defRPr sz="1400" b="0" i="0" u="none" strike="noStrike" kern="1200" spc="0" baseline="0">
                <a:solidFill>
                  <a:schemeClr val="tx1">
                    <a:lumMod val="65000"/>
                    <a:lumOff val="35000"/>
                  </a:schemeClr>
                </a:solidFill>
                <a:latin typeface="+mn-lt"/>
                <a:ea typeface="+mn-ea"/>
                <a:cs typeface="+mn-cs"/>
              </a:defRPr>
            </a:pPr>
            <a:r>
              <a:rPr lang="en-US" sz="1400" b="0" i="0" baseline="0">
                <a:effectLst/>
              </a:rPr>
              <a:t>n=6 </a:t>
            </a:r>
            <a:endParaRPr lang="de-AT" sz="1400">
              <a:effectLst/>
            </a:endParaRPr>
          </a:p>
        </c:rich>
      </c:tx>
      <c:overlay val="0"/>
      <c:spPr>
        <a:noFill/>
        <a:ln>
          <a:noFill/>
        </a:ln>
        <a:effectLst/>
      </c:spPr>
    </c:title>
    <c:autoTitleDeleted val="0"/>
    <c:plotArea>
      <c:layout/>
      <c:barChart>
        <c:barDir val="col"/>
        <c:grouping val="clustered"/>
        <c:varyColors val="0"/>
        <c:ser>
          <c:idx val="0"/>
          <c:order val="0"/>
          <c:tx>
            <c:strRef>
              <c:f>'2016_2'!$C$21</c:f>
              <c:strCache>
                <c:ptCount val="1"/>
                <c:pt idx="0">
                  <c:v>Mittelwert</c:v>
                </c:pt>
              </c:strCache>
            </c:strRef>
          </c:tx>
          <c:spPr>
            <a:solidFill>
              <a:schemeClr val="bg1"/>
            </a:solidFill>
            <a:ln>
              <a:solidFill>
                <a:schemeClr val="tx1"/>
              </a:solidFill>
            </a:ln>
            <a:effectLst/>
          </c:spPr>
          <c:invertIfNegative val="0"/>
          <c:errBars>
            <c:errBarType val="both"/>
            <c:errValType val="cust"/>
            <c:noEndCap val="0"/>
            <c:plus>
              <c:numRef>
                <c:f>'2016_2'!$D$22:$E$22</c:f>
                <c:numCache>
                  <c:formatCode>General</c:formatCode>
                  <c:ptCount val="2"/>
                  <c:pt idx="0">
                    <c:v>126.39620247459969</c:v>
                  </c:pt>
                  <c:pt idx="1">
                    <c:v>39.496835316262995</c:v>
                  </c:pt>
                </c:numCache>
              </c:numRef>
            </c:plus>
            <c:minus>
              <c:numRef>
                <c:f>'2016_2'!$D$22:$E$22</c:f>
                <c:numCache>
                  <c:formatCode>General</c:formatCode>
                  <c:ptCount val="2"/>
                  <c:pt idx="0">
                    <c:v>126.39620247459969</c:v>
                  </c:pt>
                  <c:pt idx="1">
                    <c:v>39.496835316262995</c:v>
                  </c:pt>
                </c:numCache>
              </c:numRef>
            </c:minus>
            <c:spPr>
              <a:noFill/>
              <a:ln w="9525" cap="flat" cmpd="sng" algn="ctr">
                <a:solidFill>
                  <a:schemeClr val="tx1">
                    <a:lumMod val="65000"/>
                    <a:lumOff val="35000"/>
                  </a:schemeClr>
                </a:solidFill>
                <a:round/>
              </a:ln>
              <a:effectLst/>
            </c:spPr>
          </c:errBars>
          <c:cat>
            <c:strRef>
              <c:f>'2016_2'!$D$20:$E$20</c:f>
              <c:strCache>
                <c:ptCount val="2"/>
                <c:pt idx="0">
                  <c:v>Dianem  + Rhizovital</c:v>
                </c:pt>
                <c:pt idx="1">
                  <c:v>Unbehandelte Kontrolle</c:v>
                </c:pt>
              </c:strCache>
            </c:strRef>
          </c:cat>
          <c:val>
            <c:numRef>
              <c:f>'2016_2'!$D$21:$E$21</c:f>
              <c:numCache>
                <c:formatCode>0.0</c:formatCode>
                <c:ptCount val="2"/>
                <c:pt idx="0">
                  <c:v>132</c:v>
                </c:pt>
                <c:pt idx="1">
                  <c:v>68</c:v>
                </c:pt>
              </c:numCache>
            </c:numRef>
          </c:val>
          <c:extLst>
            <c:ext xmlns:c16="http://schemas.microsoft.com/office/drawing/2014/chart" uri="{C3380CC4-5D6E-409C-BE32-E72D297353CC}">
              <c16:uniqueId val="{00000000-AD6C-4B4D-8602-A87361F6B89E}"/>
            </c:ext>
          </c:extLst>
        </c:ser>
        <c:dLbls>
          <c:showLegendKey val="0"/>
          <c:showVal val="0"/>
          <c:showCatName val="0"/>
          <c:showSerName val="0"/>
          <c:showPercent val="0"/>
          <c:showBubbleSize val="0"/>
        </c:dLbls>
        <c:gapWidth val="219"/>
        <c:overlap val="-27"/>
        <c:axId val="107505152"/>
        <c:axId val="107506688"/>
      </c:barChart>
      <c:catAx>
        <c:axId val="10750515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7506688"/>
        <c:crosses val="autoZero"/>
        <c:auto val="1"/>
        <c:lblAlgn val="ctr"/>
        <c:lblOffset val="100"/>
        <c:noMultiLvlLbl val="0"/>
      </c:catAx>
      <c:valAx>
        <c:axId val="107506688"/>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107505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1">
    <c:autoUpdate val="0"/>
  </c:externalData>
</c:chartSpace>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mlfuw">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0E7283-D595-444B-BFE3-2D310E0D83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120</Pages>
  <Words>32748</Words>
  <Characters>233709</Characters>
  <Application>Microsoft Office Word</Application>
  <DocSecurity>4</DocSecurity>
  <Lines>1947</Lines>
  <Paragraphs>531</Paragraphs>
  <ScaleCrop>false</ScaleCrop>
  <HeadingPairs>
    <vt:vector size="2" baseType="variant">
      <vt:variant>
        <vt:lpstr>Titel</vt:lpstr>
      </vt:variant>
      <vt:variant>
        <vt:i4>1</vt:i4>
      </vt:variant>
    </vt:vector>
  </HeadingPairs>
  <TitlesOfParts>
    <vt:vector size="1" baseType="lpstr">
      <vt:lpstr>MLO_ZeSt_Brosch_Neutral_A4_BF_07/2016</vt:lpstr>
    </vt:vector>
  </TitlesOfParts>
  <Company>SIEBEN</Company>
  <LinksUpToDate>false</LinksUpToDate>
  <CharactersWithSpaces>265926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MLO_ZeSt_Brosch_Neutral_A4_BF_07/2016</dc:title>
  <dc:creator>BMLFUW</dc:creator>
  <cp:lastModifiedBy>Fischer, Elisabeth</cp:lastModifiedBy>
  <cp:revision>2</cp:revision>
  <cp:lastPrinted>2017-10-20T12:46:00Z</cp:lastPrinted>
  <dcterms:created xsi:type="dcterms:W3CDTF">2019-08-06T07:48:00Z</dcterms:created>
  <dcterms:modified xsi:type="dcterms:W3CDTF">2019-08-06T07:48:00Z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Target">
    <vt:i4>-1</vt:i4>
  </property>
</Properties>
</file>